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shrinkflation_japan_cpi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shrinkflation's contribution to measured inflation in Japan using quasi-experimental scanner-CPI linkage and behavioral detection experiments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Exogenous input-cost shocks induce firms to reduce product quantities (shrinkflation) rather than raise unit prices, and when CPI aggregation does not adjust for unit-price changes this shrinkflation produces a measurable upward bias in official inflation estimates.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price measurement and inflation using scanner data focuses on unit-price indices, hedonic adjustments, and reconciliation of SKU churn, while applied macro work uses difference-in-differences and event studies to link cost shocks to price changes. Behavioral studies measure consumer reference prices and detection of price changes. Limitations remain: (1) GTIN/UPC linkage across reformulations and multipacks is ad hoc and error-prone; (2) causal identification of shrinkflation using exogenous instruments is underdeveloped and often conflates price and quantity responses; (3) behavioral detection thresholds for small quantity changes are rarely integrated into CPI adjustment; (4) cumulative sub-threshold downsizings (many tiny reductions adding up) are not systematically simulated; (5) scanner panels suffer coverage and selection biases that are not always benchmarked to official expenditure surveys. These gaps limit accurate quantification of shrinkflation bias.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measures how shrinkflation—firms reducing package quantities instead of raising prices—affects Japan's official consumer price index (CPI). We link high-frequency scanner and GTIN data to CPI micro-prices, detect quantity changes using GTIN rules plus OCR/computer vision on packaging images, and exploit exogenous input-cost shocks (commodity prices, HS6 tariff changes, and sharp FX moves) in difference-in-differences and IV/event-study designs to identify causal effects. We compute unit-price and hedonic-adjusted indices, run Monte Carlo simulations to test 3–5% materiality thresholds and cumulative micro-shrinkage scenarios, and run behavioral experiments (detection-threshold staircases and conjoint tasks) to estimate consumer awareness and substitution elasticities. Main contributions are a reproducible ETL and GTIN reconciliation pipeline, causal estimates of shrinkflation incidence, quantified CPI bias under alternative aggregation rules, and welfare estimates that incorporate consumer detection. Expected outcome: clear evidence and tools to adjust CPI aggregation and inform disclosure policy in Japan and comparable economies.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assembly: collect scanner/POS feeds (commercial panels and retailer POS), CPI micro-prices and weights (Statistics Bureau), household expenditure survey weights (FIES/HES), tariff HS6 histories, commodity spot/futures, and online price crawls. 2) Product master file: normalize units (g/ml/count), build GTIN linkage using GS1 rules, and track GTIN splits/merges. GTIN is the product barcode identifier. 3) Quantity-change detection: compare net quantity fields, detect GTIN changes, and use OCR/computer vision (CV) on packaging images to extract net-weight text and images. OCR is text recognition from images; CV refers to image analysis methods. 4) ETL pipeline: create SKU×date panel with flags for quantity change events and metadata confidence scores. 5) Identification: pre-register DiD/event-study windows around exogenous cost shocks (commodity, tariff, FX). Use instrumented IV specifications where needed, and pre-specify placebo and lead-lag tests. 6) Index construction: compute price-per-standard-unit (unit-price), geometric-average price relatives at SKU-month, hedonic regressions (log price on log quantity + product/brand/retailer/time fixed effects) to adjust for quality. Hedonic regression estimates how price varies with measured attributes. 7) Behavioral experiments: online staircase detection tasks to estimate smallest detectable percent reductions, conjoint tasks for substitution and willingness-to-pay, stratified by age/income. 8) Welfare: estimate mixed-logit discrete choice demand models with quality and reference-price terms; compute compensating variation for welfare loss. Mixed-logit is a demand model allowing varied consumer tastes. 9) Simulations and thresholds: run Monte Carlo simulations injecting repeated micro-shrinkages (e.g., 0.5–5% per event) to evaluate aggregate bias and power for different materiality bands. 10) Pre-registration: register analysis plan, power calculations, and robustness checks before estimating main results.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primary: Intage or NielsenIQ scanner panels, major retailer POS (Aeon/Seven&amp;I/Lawson) if available, Statistics Bureau CPI micro-prices and item weights, FIES/HES household expenditure data, commodity spot/futures (resin, sugar, wheat, edible oils, paper), HS6 tariff timeline, and web-scraped Amazon/Rakuten prices as contingency. Baselines: official CPI (published series), unit-price index (price per gram/ml/count), and hedonic-adjusted CPI (quality controls). Evaluation metrics: CPI bias in percentage points (measured index minus unit-price-adjusted index), mean squared error (MSE) of index estimates versus unit-price benchmark, detection rate (%) of quantity changes, minimum detectable effect (MDE) for DiD and hedonic coefficients, compensating variation in yen per household for welfare. Empirical tests: 1) Causal DiD/event-study: treated = categories exposed to commodity/tariff/FX shocks; control = unaffected categories; windows = [-12,+12] months; estimators = Sun &amp; Abraham and Callaway &amp; Sant’Anna bias-corrected DiD. 2) IV: instrument unit-cost exposure by commodity price changes weighted by category input intensity; overidentification tests: Sargan/Hansen and placebo shocks. 3) Hedonic regressions: estimate log(price) = beta*log(quantity) + product FE + brand FE + retailer FE + time FE; robustness: semi-parametric splines on log(quantity), differenced estimators (within-SKU), and mixed-effects. 4) GTIN/OCR ablation: full linking pipeline vs linking using GTIN fields only; compare detection rate and CPI bias. 5) Monte Carlo: simulate repeated micro-shrinkages at 0.5%, 1%, 2%, 3%, 5% frequencies monthly; compute aggregate CPI bias distribution and power to detect under sample sizes. 6) Behavioral experiments: online sample N=2000 (stratified: age/income/urban), staircase detection (binary up/down choices to find detection threshold per respondent), conjoint with randomized pack-size and price; output: distribution of detection thresholds, substitution elasticities. 7) Combined welfare: plug behavioral elasticities and detection lags into mixed-logit model to compute compensating variation. Ablation studies: (A) with vs without hedonic adjustment, (B) with vs without OCR/CV linking, (C) different materiality thresholds (1%, 3%, 5%) in simulation. Pre-specified power: target MDE for DiD of 0.1 percentage point CPI bias with 80% power, using observed SKU variance estimates in pilot data.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access and coverage: commercial scanner/POS feeds require NDAs/licenses and may exclude small retailers or online channels, causing selection bias. 2) GTIN/UPC linking errors: mislinking across reformulations or voluntary GTIN reuse can misclassify quantity changes. 3) OCR/CV failure modes: poor image quality or atypical packaging fonts reduce extraction accuracy. 4) Instrument validity: commodity, tariff, and FX shocks may correlate with demand or firm timing, risking endogeneity. 5) Small effect sizes: shrinkflation events may be small or rare, requiring large samples to detect aggregate bias. 6) Behavioral external validity: online experiments may not reflect real in-store attention and purchase behavior. 7) Hedonic model misspecification: omitted attributes or functional-form errors can bias quality adjustments. 8) Cumulative detection and multiple testing: many tests inflate false discoveries if not adjusted. 9) Legal and confidentiality constraints: firm interviews and supply-chain data may face non-disclosure limits. 10) Generalization: results for Japan may not transfer to countries with different retail structure, culture, or CPI methods. 11) Computational cost: large-scale OCR, CV, and Monte Carlo simulations require substantial compute and storage.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