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age_household_inequality_cee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Comparative decomposition and causal analysis of income inequality by age and household type under demographic aging in Central and Eastern Europe using harmonized EU-SILC microdata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Rising demographic aging (higher share age 65+) increases income inequality among elderly households more in liberal post-socialist CEE states than in corporatist post-socialist states, because liberal states exhibit larger increases in elderly single-person households which reduce household income pooling.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has measured income inequality by age and documented elderly disadvantage in Central and Eastern Europe, and other work has classified post-socialist states into liberal and corporatist welfare types and examined pension and family policies. Common methods include cross-sectional inequality measures (Gini, Theil) using EU-SILC microdata, and decomposition techniques to separate within- and between-group inequality. Limitations of prior approaches include inconsistent harmonization of income components and PPP/CPI adjustments across years and countries, ad hoc handling of top incomes and missing data, inconsistent household-type definitions (head-based vs resident-based), limited use of survey-aware inference, weak causal identification of policy effects, sparse treatment of panel rotation and attrition, and incomplete treatment of pension/in-kind measurement. Few studies jointly combine rigorous harmonization, neo-familial household typologies, modern decomposition methods, and preregistered causal estimators across multiple CEE countries.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demographic aging relates to income inequality across age groups and household types in Central and Eastern Europe (CEE) between 2005 and 2022. Using harmonized EU-SILC microdata, we combine resident-based household typologies grounded in a neo-familial perspective with standardized income harmonization and survey-aware inference. We quantify the contribution of compositional aging (age structure and household-type shifts) versus within-group dispersion to observed inequality changes using decomposition methods (Shapley, DFL reweighting) and distributional regressions. We then evaluate institutional moderation by constructing country-year welfare indices (pension generosity, family support, labor activation) and estimating causal effects of policy changes using staggered DiD (modern group-time estimators), synthetic control, and instrumental strategies based on cohort-size and pension-eligibility variation. The main contribution is an integrated, reproducible pipeline linking demographic change, household structure, and institutional context to inequality dynamics, producing comparable cross-country evidence and policy-relevant insights on which household types and institutional features amplify or mitigate elderly income inequality during demographic aging.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harmonization: obtain EU-SILC microdata for target CEE countries for 2005 and 2022. Convert nominal incomes to constant 2015 euros using Eurostat PPPs and national CPI series (base year 2015). Explain: PPP adjusts for price differences between countries; CPI adjusts for inflation over time. 2) Income cleaning: winsorize top incomes at the 99.5th percentile within each country-year as baseline. Record alternatives: fixed top-code, Pareto tail correction, no adjustment. 3) Missing data: impute missing income and relationship fields with multiple imputation by chained equations (MICE) using predictive mean matching (PMM). Explain: PMM replaces missing values with observed similar values to preserve distribution. 4) Household typology: build resident-based household types from relationship and age variables: single elderly (65+ alone), elderly-headed multigenerational (3+ generations), elderly-present non-head, working-age single, extended/complex. Also produce head-based coding for sensitivity; vary elderly thresholds (60/65/70). 5) Equivalization: compute equivalized household disposable income using OECD-modified scale as primary; also compute per-capita as sensitivity. Explain: equivalization scales adjust household income for size and composition. 6) Inequality metrics: compute Gini, mean log deviation (MLD), P90/P10 by age group and household type. 7) Decompositions: apply Shapley decomposition to apportion change into age-structure, household-type composition, and within-group dispersion; implement DiNardo-Fortin-Lemieux (DFL) reweighting to construct counterfactual distributions. Explain: DFL reweighting creates a hypothetical distribution holding composition fixed. 8) Distributional regressions: run Recentered Influence Function (RIF) regressions for quantile decompositions. 9) Institutional measures: construct normalized country-year indices for pension generosity, family support, and labor activation (0–1 scales) from OECD, national sources, and policy databases. 10) Causal analysis: 1) use Callaway &amp; Sant’Anna group-time estimator for staggered reforms and Sun &amp; Abraham diagnostics for pre-trends; 2) apply synthetic control for single-country large reforms; 3) implement IVs using cohort-size shocks (historical fertility cohort ratios) as instrument for elderly household prevalence and pension-eligibility changes as instrument for pension exposure. Explain: an instrument is a variable that affects treatment but not outcome directly. 11) Survey-aware inference: compute standard errors with bootstrap that resamples PSUs within strata when available; when missing, use clustered household bootstrap and report sensitivity. 12) Pipeline and reproducibility: script all steps in R/Stata with version control and publish mapping tables and pre-analysis plan.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harmonized EU-SILC microdata for Poland, Czech Republic, Slovakia, Hungary, Slovenia, Estonia, Latvia, Lithuania for years 2005 and 2022. Pilot: Poland, Hungary, Estonia, Czech Republic (2005 &amp; 2022). Baselines: (A) head-based household coding, (B) resident-based household coding (primary), (C) equivalized OECD-modified vs per-capita, (D) income top-tail treatments: winsorize99.5 (primary), Pareto, fixed top-code, none. Metrics: Gini, MLD, P90/P10, Shapley contribution shares, ATT (average treatment effect on the treated) from Callaway &amp; Sant’Anna, first-stage F-stat for IVs, bootstrap 95% CIs. Experimental steps: 1) Produce harmonized analytic files with PPP/CPI-adjusted incomes and household typologies. 2) Compute baseline inequality metrics by age groups (0–14, 15–64, 65–79, 80+) and household types for 2005 and 2022 using household weights. 3) Decomposition: apply Shapley and DFL reweighting to decompose 2005→2022 changes into age composition, household-type composition, and within-group dispersion; report bootstrapped CIs (1,000 replicates). 4) Causal event analysis: identify pension or family-policy reforms with implementation dates; estimate group-time ATT using Callaway &amp; Sant’Anna with country and year fixed effects and Sun &amp; Abraham pre-trend tests; require no significant leads. 5) IV analysis: construct cohort-size instrument from historical fertility (cohort population ratios aggregated to NUTS0 birth cohorts) instrumenting elderly household prevalence; report first-stage F, overidentification where multiple instruments exist, and placebo outcomes (unrelated outcomes) for falsification. 6) Ablation studies: (i) resident vs head coding comparison; (ii) include vs exclude pensions in disposable income; (iii) equivalization OECD vs per-capita; (iv) imputation PMM on original vs log scale. 7) Robustness: repeat decompositions under alternative top-tail rules and elderly thresholds (60/65/70). 8) Reporting: produce tables of point estimates, bootstrap CIs, and power calculations for main ATT estimates (report minimum detectable ATT at 80% power given sample sizes).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Attrition and panel rotation: nonrandom attrition by age or household type may bias longitudinal inferences; IPW or selection models may be imperfect. 2) Measurement error: pension and in-kind benefits are variably reported across countries and may be mismeasured, biasing disposable income estimates. 3) PPP and deflation choices: results depend on base-year PPP/CPI decisions, reducing cross-country comparability sensitivity. 4) Top-tail treatment: winsorization or Pareto corrections change inequality metrics and may mask true upper-tail dynamics. 5) Missing survey design variables: absent PSU/strata for some country-years weakens variance estimation and requires fallback bootstraps with potential bias. 6) Small samples: some country-year cells may fall below sample thresholds, limiting inference and increasing variance. 7) Instrument validity: cohort-size and pension-eligibility instruments rely on exclusion restrictions that are hard to prove and may be violated. 8) Endogeneity of household formation: coresidence decisions are endogenous to income and shocks, limiting causal claims without strong identification. 9) Equivalence and pooling assumptions: assigning equivalized household income to individuals assumes full or standard pooling which may not hold; this affects interpretation of individual-level inequality. 10) Generalization limits: findings for EU-member CEE countries with sufficient EU-SILC coverage may not generalize to excluded or small-sample post-socialist states.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