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organic_innovation_perceptions</w:t>
      </w:r>
    </w:p>
    <w:p>
      <w:r>
        <w:t xml:space="preserve"> </w:t>
      </w:r>
    </w:p>
    <w:p>
      <w:pPr>
        <w:pStyle w:val="Heading2"/>
      </w:pPr>
      <w:r>
        <w:t>Title</w:t>
      </w:r>
    </w:p>
    <w:p>
      <w:r>
        <w:t>Survey-based evaluation of stakeholder acceptance, perceived importance, and development potential of innovations for organic farming in Germany</w:t>
      </w:r>
    </w:p>
    <w:p>
      <w:r>
        <w:t xml:space="preserve"> </w:t>
      </w:r>
    </w:p>
    <w:p>
      <w:pPr>
        <w:pStyle w:val="Heading2"/>
      </w:pPr>
      <w:r>
        <w:t>Short Hypothesis</w:t>
      </w:r>
    </w:p>
    <w:p>
      <w:r>
        <w:t>Stakeholder role (farmer versus advisor) causally affects reported acceptance and perceived development potential of technological innovations, with farmers reporting lower acceptance controlling for farm size and current use.</w:t>
      </w:r>
    </w:p>
    <w:p>
      <w:r>
        <w:t xml:space="preserve"> </w:t>
      </w:r>
    </w:p>
    <w:p>
      <w:pPr>
        <w:pStyle w:val="Heading2"/>
      </w:pPr>
      <w:r>
        <w:t>Related Work</w:t>
      </w:r>
    </w:p>
    <w:p>
      <w:r>
        <w:t>Previous work has used surveys at agricultural field days and workshops to measure stakeholder attitudes toward organic farming innovations and to prioritize development needs. Typical approaches rely on convenience or event-based samples, limited pre-registration of analysis rules, and simple descriptive comparisons across groups. Segmentation efforts have used clustering or latent class methods but often lack simulation-validated class-size rules. Prior studies rarely combine rigorous mixed-mode weighting, paradata-informed nonresponse adjustments, pre-specified ordinal-model decision trees, and Bayesian calibration of acceptance-to-adoption mappings. Qualitative follow-ups exist but are often separate from quantitative segments, limiting joint interpretation. Remaining weaknesses include selection bias from event samples, insufficient handling of mixed-mode effects, lack of validated acceptance→adoption conversions, and limited reproducibility due to incomplete pre-analysis plans.</w:t>
      </w:r>
    </w:p>
    <w:p>
      <w:r>
        <w:t xml:space="preserve"> </w:t>
      </w:r>
    </w:p>
    <w:p>
      <w:pPr>
        <w:pStyle w:val="Heading2"/>
      </w:pPr>
      <w:r>
        <w:t>Abstract</w:t>
      </w:r>
    </w:p>
    <w:p>
      <w:r>
        <w:t>This study evaluates stakeholder perceptions of innovations and strategies for organic farming in Germany using a pre-registered, survey-based approach at organic field days complemented by qualitative follow-up interviews. We measure three primary outcomes—acceptance, perceived importance, and development potential—across agronomic, biological-input, technological, and socioeconomic innovation domains with 5-point Likert scales and use quotas to reach a target of 600 respondents (up to 720). The design links systematic intercept sampling, paradata capture, registry-derived post-stratification weighting, multiple imputation for missing data, and pre-specified ordinal and mixed-effects models. We apply latent class analysis for segmentation and run semi-structured interviews to explain quantitative patterns. A Bayesian calibration will map acceptance scores to adoption probabilities for Monte Carlo economic scenarios. Expected outcomes include robust estimates of group differences, validated stakeholder segments, and transparent economic projections to inform research priorities, extension strategies, and policy decisions for accelerating appropriate innovation adoption in Germany’s organic sector.</w:t>
      </w:r>
    </w:p>
    <w:p>
      <w:r>
        <w:t xml:space="preserve"> </w:t>
      </w:r>
    </w:p>
    <w:p>
      <w:pPr>
        <w:pStyle w:val="Heading2"/>
      </w:pPr>
      <w:r>
        <w:t>Methodology</w:t>
      </w:r>
    </w:p>
    <w:p>
      <w:r>
        <w:t>1. Questionnaire and validation: finalize innovation items with plain-language definitions and technical readiness labels; cognitive test with 8–12 participants across farmer/advisor strata; include core Likert items for acceptance, importance, development potential, current use (yes/no), innovation-openness scale, social-desirability checks, and attention checks. 2. Sampling and field procedures: systematic intercept at organic field days using quota sampling (≥250 farmers, ≥120 advisors); record paradata (attempts, time, location, mode, enumerator ID, refusal reason). Pilot n=60–100 to refine procedures. 3. Backup modes: pre-specified remote modes (association email, mailed paper/QR, panel) flagged in paradata and capped per-channel. 4. Weighting and missing data: derive calibration margins from German registries (region NUTS2, farm-size bins, production type, certification year); apply raking (post-stratification) and trim extreme weights; impute missing values with multiple imputation (mice, m=20) including paradata and weights; explain technical terms: raking = iterative adjustment of survey weights to match known population totals. 5. Modeling: primary estimator = cumulative (ordinal) logistic regression with cluster-robust SEs (cluster = event/day/location); compute ICC for outcomes; if ICC&gt;0.05 use mixed-effects with random intercepts; test proportional-odds (Brant) and switch to partial-proportional odds if violated. 6. Segmentation and integration: run latent class analysis (2–6 classes) on attitude items; align qualitative interviews purposively with classes; produce joint displays linking classes to themes and personas. 7. Acceptance→adoption mapping: build Bayesian model combining pilot retrospective adoption data, literature priors, and covariates (farm size, certification year, advisory access) to estimate adoption probabilities from acceptance scores. 8. Economic scenarios: Monte Carlo runs combining adoption probabilities with per-farm cost/benefit inputs to estimate ROI/NPV under uncertainty. 9. Reproducibility: pre-register DMAP and code, version-control in Git, OSF materials, GDPR-compliant anonymization and controlled-access for qualitative transcripts.</w:t>
      </w:r>
    </w:p>
    <w:p>
      <w:r>
        <w:t xml:space="preserve"> </w:t>
      </w:r>
    </w:p>
    <w:p>
      <w:pPr>
        <w:pStyle w:val="Heading2"/>
      </w:pPr>
      <w:r>
        <w:t>Experiments</w:t>
      </w:r>
    </w:p>
    <w:p>
      <w:r>
        <w:t>Datasets: (A) Field survey collected at organic field days, target N=600 (min 250 farmers, 120 advisors), up to 720; (B) Pilot survey n=60–100; (C) Follow-up panel n≈100 at 6 months for observed adoption; (D) Registry margins from German organic farm registry and agricultural census for weighting. Baselines: (1) unweighted cumulative logit; (2) weighted cumulative logit; (3) weighted cumulative logit with cluster-robust SEs; (4) partial-proportional odds model; (5) cumulative link mixed model (random intercepts); (6) segmentation: LCA (2–6 classes) versus hierarchical clustering. Evaluation metrics: group differences—Wald test p-values, adjusted p-values; effect sizes—standardized mean differences (Cohen's d); model fit—AIC, BIC; proportional-odds test statistic (Brant); clustering—BIC, entropy, bootstrap-LRT, minimum class size; predictive calibration—AUC and Brier score for adoption predictions on follow-up; economic outputs—mean and 95% interval for NPV/ROI, RMSE across simulation runs. Experimental setup: conduct cognitive testing (n=8–12) then pilot (n=60–100) with full paradata; run main field collection until quotas met or max 720 responses; perform three primary analyses: (A) weighted cumulative logit comparing farmers vs advisors controlling for farm size and current use; (B) LCA segmentation and profile classes by covariates; (C) Bayesian acceptance→adoption model trained on pilot+follow-up, reporting posterior predictive checks. Ablation studies: (i) weight vs no-weight comparison to quantify bias; (ii) inclusion vs exclusion of paradata in nonresponse models and imputation; (iii) cumulative logit vs partial-proportional odds when Brant test rejects; (iv) LCA vs hierarchical clustering comparison for segmentation stability. Pre-specified thresholds: if ICC&gt;0.05 use mixed model; require minimum class size ≥50 or ≥5% sample; m=20 imputations.</w:t>
      </w:r>
    </w:p>
    <w:p>
      <w:r>
        <w:t xml:space="preserve"> </w:t>
      </w:r>
    </w:p>
    <w:p>
      <w:pPr>
        <w:pStyle w:val="Heading2"/>
      </w:pPr>
      <w:r>
        <w:t>Risk Factors And Limitations</w:t>
      </w:r>
    </w:p>
    <w:p>
      <w:r>
        <w:t>1. Selection bias: field-day attendees may differ systematically from national organic farms, limiting generalizability. 2. Nonresponse and mode effects: mixed recruitment modes may introduce heterogeneity that complicates weighting and inference. 3. Measurement error: social desirability, ambiguous innovation terms, or low attention can bias Likert responses. 4. Small subgroup/class sizes: latent classes or rare farm types may have too few respondents for stable inference. 5. Acceptance→adoption uncertainty: mapping beliefs to behavior is inherently noisy; Bayesian calibration may remain imprecise with limited follow-up data. 6. GDPR and data sharing limits: controlled access may restrict reuse of qualitative data. 7. Resource and timing constraints: slow recruitment or adverse field-day turnout could prevent reaching target N. 8. Technical failures: device/tablet malfunctions or data syncing errors in the field. 9. Model assumptions: proportional-odds or mixed-model assumptions may be violated, reducing interpretability. 10. Limited external validity: results pertain to Germany’s organic sector and may not generalize to other countries or conventional farms.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