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e_waste_dismantling_cf</w:t>
      </w:r>
    </w:p>
    <w:p>
      <w:r>
        <w:t xml:space="preserve"> </w:t>
      </w:r>
    </w:p>
    <w:p>
      <w:pPr>
        <w:pStyle w:val="Heading2"/>
      </w:pPr>
      <w:r>
        <w:t>Title</w:t>
      </w:r>
    </w:p>
    <w:p>
      <w:r>
        <w:t>Field-based carbon footprint accounting of e-waste dismantling in China by matching daily facility electricity consumption to daily dismantling volumes with NILM-validated allocation</w:t>
      </w:r>
    </w:p>
    <w:p>
      <w:r>
        <w:t xml:space="preserve"> </w:t>
      </w:r>
    </w:p>
    <w:p>
      <w:pPr>
        <w:pStyle w:val="Heading2"/>
      </w:pPr>
      <w:r>
        <w:t>Short Hypothesis</w:t>
      </w:r>
    </w:p>
    <w:p>
      <w:r>
        <w:t>Matching daily facility electricity consumption to daily dismantling volumes using NILM-informed allocation reduces kWh/kg estimation error relative to monthly-averaged or uniform allocation methods.</w:t>
      </w:r>
    </w:p>
    <w:p>
      <w:r>
        <w:t xml:space="preserve"> </w:t>
      </w:r>
    </w:p>
    <w:p>
      <w:pPr>
        <w:pStyle w:val="Heading2"/>
      </w:pPr>
      <w:r>
        <w:t>Related Work</w:t>
      </w:r>
    </w:p>
    <w:p>
      <w:r>
        <w:t>Existing carbon accounting for e-waste often uses coarse temporal allocation (monthly or annual averages) or simple proportional rules to assign facility electricity to processing activities. Some facility studies use point submetering for key machines, while the NILM (non-intrusive load monitoring) literature enables disaggregation of mains data into appliance loads using supervised models. Prior approaches show three main weaknesses: (1) coarse time resolution that misses intra-day grid emission variability and operation cycles; (2) limited transferability of NILM models across heterogeneous or informal facilities leading to large allocation errors; and (3) weak uncertainty propagation when scaling site measurements to provincial or national totals. Controlled batch-trial evidence and systematic hierarchical scaling estimators are sparse in current work, and methods rarely combine daily mass-throughput records with mains electricity to produce a reproducible national inventory with clear variance decomposition.</w:t>
      </w:r>
    </w:p>
    <w:p>
      <w:r>
        <w:t xml:space="preserve"> </w:t>
      </w:r>
    </w:p>
    <w:p>
      <w:pPr>
        <w:pStyle w:val="Heading2"/>
      </w:pPr>
      <w:r>
        <w:t>Abstract</w:t>
      </w:r>
    </w:p>
    <w:p>
      <w:r>
        <w:t>We present a field-based method to account for carbon emissions from e-waste dismantling in China by linking facility electricity consumption at daily resolution to daily dismantling volumes for five e-waste categories. The approach combines stratified site sampling, targeted submetering, supervised NILM (non-intrusive load monitoring) trained on labeled machine-hours, and controlled batch trials to derive per-operation kWh/kg priors. Emissions are computed with hourly or daily location-based grid emission factors, and uncertainty is propagated through a hierarchical Monte Carlo that nests site and stratum random effects and incorporates meter, allocation, NILM, EF, and imputation uncertainties. Main contributions are: (1) a reproducible procedure to allocate electricity to dismantling operations at daily granularity; (2) empirically derived priors and NILM transfer-validation with leave-one-site-out tests; and (3) a documented scaling estimator to produce provincial and national kWh/kg and kgCO2e/kg with variance decomposition. Expected outcomes include tighter, policy-relevant national estimates and clear identification of dominant uncertainty sources.</w:t>
      </w:r>
    </w:p>
    <w:p>
      <w:r>
        <w:t xml:space="preserve"> </w:t>
      </w:r>
    </w:p>
    <w:p>
      <w:pPr>
        <w:pStyle w:val="Heading2"/>
      </w:pPr>
      <w:r>
        <w:t>Methodology</w:t>
      </w:r>
    </w:p>
    <w:p>
      <w:r>
        <w:t>1) Sampling and instrumentation: select a stratified purposive sample of facilities (region × facility type × technology × throughput). At each site install one revenue-grade mains meter, 4–8 process submeters where feasible, an IoT logger, a weighbridge or floor scale, and RFID/QR batch timestamping. 2) Daily matching: record daily total electricity (kWh) and daily dismantled mass (kg) per e-waste category; keep timestamps in UTC. 3) NILM labeling and models: collect labeled on/off or waveform sessions per machine (target labeled-hours per machine). Train supervised NILM models (examples: gradient-boosted trees on engineered features; seq-to-point CNN) to allocate mains energy to machines. NILM: non-intrusive load monitoring, meaning estimation of individual equipment consumption from aggregate mains signals without direct metering. 4) Controlled trials: run repeat batches (fixed mass, recorded power and weight) per unit operation to measure empirical kWh/kg distributions for priors. 5) Allocation rules: when NILM passes validation use NILM allocations; otherwise apply time-window proportional allocation by mass throughput or fixed kWh/kg from trials. 6) Emission factors: attach hourly or daily location-based grid EFs to electricity time series to compute kgCO2e. 7) Scaling and uncertainty: implement a hierarchical Monte Carlo with site-level random effects nested in strata; incorporate priors for meter bias, allocation error, NILM generalization, EF uncertainty, and imputation. Run 10,000 MC draws to produce medians and 5–95% intervals. 8) Outputs and provenance: store standardized tables (meters, submeters, batches, production), log calibrations, and produce per-site/day kWh/kg and kgCO2e/kg with diagnostic QC metrics.</w:t>
      </w:r>
    </w:p>
    <w:p>
      <w:r>
        <w:t xml:space="preserve"> </w:t>
      </w:r>
    </w:p>
    <w:p>
      <w:pPr>
        <w:pStyle w:val="Heading2"/>
      </w:pPr>
      <w:r>
        <w:t>Experiments</w:t>
      </w:r>
    </w:p>
    <w:p>
      <w:r>
        <w:t>Datasets: pilot field data from N=24 stratified sites, with an intensive labeled pilot at 3–4 sites for NILM; controlled batch trials at 6 pilot units across unit operations with ≥5 repeats each; provincial throughput and generation data for scaling. Baselines: (A) monthly-averaged electricity allocation (uniform in time), (B) time-window proportional allocation by mass, (C) direct submetering where available (oracle baseline). Models: LightGBM/XGBoost on engineered features, seq-to-point CNN, LSTM, factorial HMM. Validation procedure: leave-one-site-out (LOSO) for transfer testing; cross-validate hyperparameters on training sites only. Evaluation metrics: per-machine and per-operation relative allocation error (|predicted-true|/true), time-aligned RMSE (kW), explained variance (R2), energy-share error (fraction of total energy assigned), per-site kWh/kg absolute error, and national-level margin of error for kWh/kg and kgCO2e/kg (5–95% CI width). Monte Carlo: 10,000 draws for uncertainty propagation. Ablation studies: (1) Labeled-hours ablation: compare NILM performance and downstream kWh/kg error at 100, 200, 400 labeled-hours per machine; (2) Transfer strategy ablation: compare models trained naively vs. with domain-adaptation (e.g., fine-tuning on small labeled target data); (3) EF scenario ablation: compare hourly location-based EF, annual average EF, and marginal-hour EF on final kgCO2e/kg. Reporting: present variance decomposition across sampling, NILM/allocation, EF, imputation and meter error; report go/no-go thresholds (daily completeness ≥95%, mains vs sum(submeters) median Δ ≤5%, LOSO relative allocation error ≤20%, R2 ≥0.6).</w:t>
      </w:r>
    </w:p>
    <w:p>
      <w:r>
        <w:t xml:space="preserve"> </w:t>
      </w:r>
    </w:p>
    <w:p>
      <w:pPr>
        <w:pStyle w:val="Heading2"/>
      </w:pPr>
      <w:r>
        <w:t>Risk Factors And Limitations</w:t>
      </w:r>
    </w:p>
    <w:p>
      <w:r>
        <w:t>Technical failures: NILM models may not generalize across heterogeneous informal facilities causing large allocation errors; meter or logger hardware may fail or lose timestamps. Data biases: sampled sites may not represent nonparticipating facilities, producing selection bias in national scaling. Scalability limits: collecting labeled machine-hours and controlled trials is time-consuming and resource-intensive, limiting rapid scale-up. Emission factor mismatch: hourly EF data may be unavailable or mismatched spatially to site supply, adding EF error. Shared-load attribution: separating ancillary loads (HVAC, lighting, compressors) from process loads is difficult when submetering is incomplete, increasing allocation uncertainty. Statistical limits: small cell counts per stratum (&lt;3 sites) prevent reliable stratum estimates and force pooled estimates with larger uncertainty. Regulatory/legal constraints: data-sharing limits and participant withdrawal may reduce usable sample size. Generalization: models and priors derived in China may not transfer to other countries or to facilities with substantially different technology mixes.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