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purpose_renewal_design</w:t>
      </w:r>
    </w:p>
    <w:p>
      <w:r>
        <w:t xml:space="preserve"> </w:t>
      </w:r>
    </w:p>
    <w:p>
      <w:pPr>
        <w:pStyle w:val="Heading2"/>
      </w:pPr>
      <w:r>
        <w:t>Title</w:t>
      </w:r>
    </w:p>
    <w:p>
      <w:r>
        <w:t>Systematic review and design-oriented research agenda using bibliometrics, qualitative coding, causal field designs, and agent-based modeling to link corporate purpose to strategic renewal</w:t>
      </w:r>
    </w:p>
    <w:p>
      <w:r>
        <w:t xml:space="preserve"> </w:t>
      </w:r>
    </w:p>
    <w:p>
      <w:pPr>
        <w:pStyle w:val="Heading2"/>
      </w:pPr>
      <w:r>
        <w:t>Short Hypothesis</w:t>
      </w:r>
    </w:p>
    <w:p>
      <w:r>
        <w:t>Increasing the embeddedness of an authentic corporate purpose (higher intentionality and governance institutionalization) causes higher firm-level strategic renewal, measured by greater new-product revenue share and R&amp;D intensity within two years, mediated by increased managerial exploratory attention.</w:t>
      </w:r>
    </w:p>
    <w:p>
      <w:r>
        <w:t xml:space="preserve"> </w:t>
      </w:r>
    </w:p>
    <w:p>
      <w:pPr>
        <w:pStyle w:val="Heading2"/>
      </w:pPr>
      <w:r>
        <w:t>Related Work</w:t>
      </w:r>
    </w:p>
    <w:p>
      <w:r>
        <w:t>Existing work treats corporate purpose, mission, and CSR with varied definitions and methods. Some studies use text analysis of mission statements, others use surveys of employee attitudes, and still others correlate archival governance markers with innovation outcomes. Strategic renewal research emphasizes dynamic capabilities, ambidexterity, and firm-level change but rarely integrates purpose as a cognitive driver. Limitations: conceptual fragmentation (inconsistent purpose definitions), measurement heterogeneity (different scales and archival proxies), sparse causal evidence (mostly cross-sectional/archival correlations), limited microfoundational tests (few experiments or process measures of attention/identity), and underuse of simulation (few agent-based models calibrated to behavioral data). Cross-lingual and grey-literature sources are often ignored, reducing generality. These gaps make it hard to draw causal claims about how purpose cognitively triggers renewal across contexts.</w:t>
      </w:r>
    </w:p>
    <w:p>
      <w:r>
        <w:t xml:space="preserve"> </w:t>
      </w:r>
    </w:p>
    <w:p>
      <w:pPr>
        <w:pStyle w:val="Heading2"/>
      </w:pPr>
      <w:r>
        <w:t>Abstract</w:t>
      </w:r>
    </w:p>
    <w:p>
      <w:r>
        <w:t>Organizations increasingly claim purpose, but the causal pathways linking corporate purpose to firm strategic renewal remain unclear because literature is fragmented across measurement approaches and lacks integrated causal tests. We address this by combining a systematic literature review with bibliometric mapping, a calibrated qualitative coding manual, pre-registered causal designs, and an agent-based model (ABM) that formalizes microfoundational mechanisms. The review and bibliometrics will map clusters and cognitive mechanisms (attention, framing, identity). The coding manual and measurement table triangulate validated scales, archival proxies, and behavioral tasks. We will pre-register cluster randomized/stepped-wedge field pilots and matched difference-in-differences analyses, provide DAGs and sensitivity checks for endogeneity, and calibrate an ABM using lab vignette data and archival renewal indicators. The main contribution is a reproducible, design-oriented research agenda that produces testable hypotheses, concrete measurement rules, and simulation tools to advance causal theory on how authentic, embedded purpose drives strategic renewal. Expected outcome: clearer empirical standards and validated micro-to-macro mechanisms linking purpose to renewal.</w:t>
      </w:r>
    </w:p>
    <w:p>
      <w:r>
        <w:t xml:space="preserve"> </w:t>
      </w:r>
    </w:p>
    <w:p>
      <w:pPr>
        <w:pStyle w:val="Heading2"/>
      </w:pPr>
      <w:r>
        <w:t>Methodology</w:t>
      </w:r>
    </w:p>
    <w:p>
      <w:r>
        <w:t>1) Corpus retrieval: run structured searches in Scopus, Web of Science, ABI/INFORM, Business Source Complete, PsycINFO, EconLit, Sociological Abstracts, SSRN, and Google Scholar using combined purpose and renewal keywords. Export metadata, abstracts, and references. 2) Inclusion rules: apply the three-facet purpose definition (intentionality, scope, embeddedness). Include works that operationalize purpose or link it empirically to strategic change; exclude CSR/ESG/mission-only papers unless they tie to renewal mechanisms. 3) Bibliometric mapping: compute co-citation and bibliographic coupling networks and detect communities using Louvain/Leiden algorithms (these algorithms find groups of related papers). Retain clusters &gt;=5 as primary; run sensitivity sweeps across thresholds. 4) Topic modeling: run LDA (Latent Dirichlet Allocation) on abstracts/keywords to surface latent themes; interpret topics to support cluster labeling. 5) Qualitative coding: develop a codebook with codes for purpose facets, operationalization type, cognitive mechanisms (attention, framing, identity), renewal outcomes, governance moderators, context. Double-code a calibration set (50–75 records). Compute Krippendorff’s alpha (agreement measure) and iterate until alpha &gt;=0.80 for critical codes. 6) Measurement mapping: create a table mapping constructs to validated scales (Organizational Identification; Prosocial Motivation; Work and Meaning Inventory), behavioral tasks (attention allocation tasks, response-time measures), and archival proxies (purpose-text embedding index, presence of purpose governance roles, R&amp;D intensity, new-product revenue share, patent counts). 7) Causal designs: pre-specify cluster RCT/stepped-wedge protocols for team-level manipulations, DiD with matched controls for firm-level adoptions, candidate IVs and RDD when credible thresholds exist, and provide DAGs (graphs showing assumed causal links) for each design. 8) ABM: define agent types (employees, managers, leaders), attributes (purpose-salience, identity-strength, risk-tolerance, learning-rate), behaviors (attention allocation, idea generation, sharing), firm-level parameters (governance support, budget-flexibility), and environment (dynamism, shock frequency). Calibrate micro-parameters from behavioral vignette/lab data and validate macro-patterns against archival renewal indicators. 9) Reproducibility: preregister protocol on OSF; publish search strings, scripts (R/Python), codebook, and ABM code on GitHub/Zenodo. 10) Cross-lingual checks: sample non-English hits, use bilingual coders and back-translation to check conceptual equivalence.</w:t>
      </w:r>
    </w:p>
    <w:p>
      <w:r>
        <w:t xml:space="preserve"> </w:t>
      </w:r>
    </w:p>
    <w:p>
      <w:pPr>
        <w:pStyle w:val="Heading2"/>
      </w:pPr>
      <w:r>
        <w:t>Experiments</w:t>
      </w:r>
    </w:p>
    <w:p>
      <w:r>
        <w:t>Datasets: 1) Bibliometric corpus exported from Scopus and Web of Science (metadata, references, abstracts). 2) Archival firm panels: Compustat/Orbis for financials, Refinitiv/MSCI for CSR ratings, USPTO/EPO patent data, SDC Platinum or firm product-release datasets for new-product revenue share. 3) Pilot firms: two partner firms for cluster RCT/stepped-wedge with team-level access to idea-submission logs and internal metrics. 4) Behavioral samples: online vignette/lab participants (N=400) from Prolific/MTurk for ABM parameter estimation and attention tasks. Baselines: null control (no-purpose intervention), symbolic-purpose communication (purpose text only), embedded-purpose intervention (communication + leader endorsement + governance signal). Evaluation metrics: primary firm-level outcomes: new-product revenue share (fraction of revenue from products introduced in prior 3 years), R&amp;D intensity (R&amp;D expenditure / sales), patent counts normalized by firm size. Primary micro outcomes: managerial exploratory attention (attention-task allocation score), organizational identification scale mean, idea-submission counts per team. Secondary outcomes: product-line entries/exits, pilot initiations, transactive memory score. Experimental setup: A) Cluster RCT/stepped-wedge: randomize teams within pilot firms into arms; target 20 clusters per arm, cluster size 15; assume ICC=0.05; effective sample yields power to detect standardized effect d=0.30 (approx. effective N~175 per arm). Pre-register analysis model: mixed-effects regression with cluster random intercepts, covariate adjustment, and intent-to-treat estimates. B) DiD: identify &gt;=30 treated firms that adopt formal purpose statements and &gt;=60 matched controls; require &gt;=3 pre-adoption annual observations; use entropy balancing on size, industry, prior renewal trend, ownership, and governance; estimate event-study coefficients and clustered SEs. C) IV/RDD: when candidate instruments exist (abrupt CEO turnover exogenous to renewal; regulatory reporting cutoff), report first-stage F&gt;10, overidentification tests, and sensitivity bounds (Rosenbaum/Altonji). D) ABM calibration: estimate attention allocation rates and idea-adoption probabilities from behavioral vignette N=400 using maximum likelihood; run 1000 simulation runs per parameter set and compare macro-patterns to archival time series (RMSE and KS for distributional match). Comparison/ablation: 1) Compare embedded-purpose vs symbolic-purpose vs control in RCT. 2) Ablate leader endorsement in embedded arm to isolate governance signal. 3) Measurement ablation: compare primary outcome as single indicator (new-product revenue share) vs composite latent variable (factor model combining R&amp;D intensity, patents, and new-product revenue). Evaluation metrics: standardized mean differences, mixed-effects coefficients, DiD event-study plots, first-stage F-statistics, RMSE and KS statistics for ABM fit. Pre-register families of tests and correction method (Benjamini-Hochberg FDR).</w:t>
      </w:r>
    </w:p>
    <w:p>
      <w:r>
        <w:t xml:space="preserve"> </w:t>
      </w:r>
    </w:p>
    <w:p>
      <w:pPr>
        <w:pStyle w:val="Heading2"/>
      </w:pPr>
      <w:r>
        <w:t>Risk Factors And Limitations</w:t>
      </w:r>
    </w:p>
    <w:p>
      <w:r>
        <w:t>1) Threshold justification risk: chosen cluster and mapping thresholds may not match corpus size or topical granularity, affecting sensitivity. 2) Power and feasibility: cluster RCTs require many clusters and firm cooperation; small number of willing firms can underpower tests. 3) Endogeneity and IV credibility: candidate instruments (CEO turnover, regulatory shocks) may be endogenous to renewal, threatening identification. 4) Measurement validity: archival proxies (new-product revenue share, patents) imperfectly capture strategic renewal and vary by industry. 5) Selection bias and nonresponse: firms volunteering for pilots may differ systematically from controls. 6) Missing data: historical firm panels may have gaps; imputation choices affect inference. 7) Intercoder reliability: achieving Krippendorff’s alpha &gt;=0.80 may be challenging for complex qualitative codes. 8) Translation and harmonization: conceptual differences across languages can bias inclusion and coding. 9) ABM limits: assumed parameters and simplified agent rules may not generalize; fitting micro-parameters requires sufficient behavioral data. 10) Multiple testing and inference: many sensitivity sweeps increase false discovery risk unless corrections are applied. 11) Scalability and compute: large bibliometric networks, LDA, and ABM sweeps require moderate compute and reproducible pipelines; limited resources can slow replication. 12) Generalization: findings from pilot firms and specific industries may not transfer across sectors or institutional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