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qianyang_lulc_esv_plus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Assessing impacts of land use and land cover change on ecosystem service value in Qianyang County using spatial ensembles, PLUS scenario modeling, and spatial statistics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Increases in built-up area projected by PLUS scenarios cause a statistically significant decrease in aggregated ecosystem services value (ESV) in Qianyang County by 2050 compared to the business-as-usual scenario.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studies map LULC change and estimate ecosystem service values using per-hectare transfers, Markov or cellular automata land-change models, and standard spatial statistics. Limitations include: reliance on single deterministic LULC maps without spatial ensembles that capture classification uncertainty and patch geometry; limited propagation of valuation uncertainty and missing covariance across service coefficients; coarse or poorly documented scenario translation from narratives to model inputs; inadequate inclusion of biophysical trend drivers (e.g., NPP, precipitation) in future valuation; and scarce integration of stakeholder-derived policy levers. Many prior methods report point estimates of ESV without hotspot-stability frequencies, lack reproducible pipelines for ensemble propagation, and do not evaluate landscape-metric fidelity between observed and simulated LULC.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quantifies how historical and plausible 2050 land use and land cover (LULC) changes affect ecosystem services value (ESV) in Qianyang County, China. We combine a reproducible 2007–2022 30 m LULC ensemble workflow (per-pixel class probabilities, object-based segmentation, and a Markov Random Field sampler) with the PLUS land-change model to generate scenario ensembles (BAU, Conservation, Development, Sustainable). Valuation uses a canonical LULC→ESV matrix with per-class coefficient distributions and biophysical modifiers (NPP/NDVI, precipitation, demand scaling). Uncertainty is propagated via a hierarchical Monte Carlo that samples classification, valuation, and PLUS stochasticity to produce probabilistic ESV maps and hotspot-stability metrics. Spatial statistics (Moran's I, LISA, Gi*) and landscape metrics evaluate spatial clustering and model fidelity. Contributions: an end-to-end, reproducible protocol for spatially explicit ESV ensemble propagation, explicit scenario→PLUS mapping, and decision-ready hotspot persistence outputs. Expected outcome: quantified ESV change distributions and robust spatial priorities to inform sustainable land management in Qianyang County.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harmonization: assemble Landsat and Sentinel surface-reflectance, apply radiometric normalization and fill Landsat-7 SLC gaps using same-season composites. 2) Annual LULC maps: train a classifier (Random Forest or LightGBM) on labeled plots to produce per-pixel class probabilities at 30 m. A per-pixel probability map gives the chance each pixel belongs to each class. 3) Spatial ensemble generation: run multiscale object-based image analysis (OBIA) to segment stable objects, then run a Markov Random Field (MRF) Gibbs sampler constrained by object labels and per-pixel probabilities to produce many spatially plausible LULC realizations. (MRF is a statistical model that enforces spatial smoothness.) 4) Historical transitions: compute 2007–2022 annual km2/yr transition matrices for each conversion type. 5) PLUS calibration: calibrate LEAS/CARS on 2007→2017 and validate 2017→2022 using stratified validation; map scenario narratives to PLUS inputs: explicit area demand vectors, conversion-cost/constraint rasters, and patch/seed parameters. 6) Valuation: build a canonical LULC→ESV table (CNY·ha−1·yr−1) with mean, SD, assumed distribution (e.g., lognormal for positive services), and covariance groups; apply biophysical modifiers (growing-season NPP or NDVI, precipitation) and demand scalers (population/GDP elasticity). 7) Uncertainty propagation: hierarchical Monte Carlo with (a) multinomial resampling from confusion matrices to generate ~500 LULC realizations, (b) draw 200–500 valuation coefficient samples preserving covariance (multivariate lognormal or multivariate normal on log scale), and (c) run ~100 PLUS stochastic realizations per scenario varying seed and patch parameters. Use Latin-Hypercube sampling to cover parameter space. 8) Spatial analysis: compute Moran's I, local indicators (LISA), Getis-Ord Gi*, hotspot-stability frequency (fraction of ensemble members where pixel is hotspot), and landscape metrics (NP, ED, MNN). 9) Validation: stratified-by-change independent validation with per-class sample targets and Pontius quantity/allocation, overall accuracy, and Figure of Merit metrics. 10) Deliverables: per-year ESV rasters with 95% CI, hotspot-stability maps, validation report, and reproducible pipeline (containers, Snakemake, STAC metadata).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harmonized 2007–2022 30 m LULC stack (Landsat/Sentinel), training/reference plots, protected-area and planning masks, road/infrastructure layers, township boundaries, population/GDP projections to 2050, and NPP/precipitation projections for 2050. Baselines/scenarios: BAU (multiplier=1.0), Conservation (forest/wetland/cropland→built demand reduced by 70%), Development (urban multiplier=1.4), Sustainable/Restoration (urban 1.1, restoration target 15–25% marginal land). Ensemble sizes: generate 500 LULC realizations, 200 valuation coefficient draws, and 100 PLUS stochastic runs per scenario to produce ≈500–1,000 propagated ESV members. Validation sampling: stratified-by-change with ≥300 samples per major class/year, 400–500 for rare classes, and ≥500 change-event samples. Evaluation metrics: aggregated county ESV mean and 95% CI, per-service ESV, percent change to 2050, hotspot-stability frequency, overall accuracy (OA), user/producer accuracies with bootstrapped CIs, Pontius quantity and allocation disagreements, Figure of Merit (FoM), Moran's I, LISA significance (with multiple-testing correction), and landscape metrics (NP, ED, MNN). Experimental setup: (A) Pilot ablation: run a 10% representative-area pilot with 50 LULC realizations and 50 PLUS runs to measure runtime and metric fidelity. (B) Ablation study 1: omit biophysical NPP/NDVI scaling in valuation to measure effect on ESV change and hotspot stability. (C) Ablation study 2: compare hard-class probabilistic ensembles vs fractional unmixing (area-weighted) for high-impact strata. (D) Sensitivity: sweep PLUS parameters (patchiness multiplier 0.7–1.3, seed threshold 0.6–1.4, neighborhood 3×3–7×7) via Latin-Hypercube and summarize variance via Sobol-style indices or variance decomposition. (E) Cross-validation: spatially-blocked k-fold CV for classifier and spatial panel CV for regression. Report all results with reproducible seeds and containerized environments.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Data quality: cloud gaps, SLC-off artifacts, and limited reference samples may bias LULC classification. Classification error: residual mislabeling and mixed pixels may propagate to ESV estimates. Valuation uncertainty: limited local valuation studies and biased expert elicitation can mis-specify coefficient priors and covariances. Biophysical trends: NPP and precipitation projections carry uncertainty and may not capture local microclimate effects, limiting 2050 valuation accuracy. Scenario misspecification: socio-economic projections may not reflect future policy or shocks. Computational cost: ensemble propagation, PLUS ensembles, and storage needs (0.5–1 TB) may exceed available compute resources. Spatial dependence: inadequate methods to preserve spatial covariance in coefficient draws can under- or overestimate hotspot stability. Model fidelity: PLUS may fail to reproduce observed landscape metrics despite parameter sweeps, limiting confidence in spatial allocation. Generalization: methods tuned for Qianyang County may not transfer without re-calibration to other regions. Validation limits: sample sizes may be insufficient for rare transitions producing wide CIs.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