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dvt_prophylaxis_pm_scale</w:t>
      </w:r>
    </w:p>
    <w:p>
      <w:r>
        <w:t xml:space="preserve"> </w:t>
      </w:r>
    </w:p>
    <w:p>
      <w:pPr>
        <w:pStyle w:val="Heading2"/>
      </w:pPr>
      <w:r>
        <w:t>Title</w:t>
      </w:r>
    </w:p>
    <w:p>
      <w:r>
        <w:t>Development and validation of a protection motivation theory based scale to measure motivation for postdischarge deep vein thrombosis prophylaxis in hip and knee arthroplasty patients</w:t>
      </w:r>
    </w:p>
    <w:p>
      <w:r>
        <w:t xml:space="preserve"> </w:t>
      </w:r>
    </w:p>
    <w:p>
      <w:pPr>
        <w:pStyle w:val="Heading2"/>
      </w:pPr>
      <w:r>
        <w:t>Short Hypothesis</w:t>
      </w:r>
    </w:p>
    <w:p>
      <w:r>
        <w:t>Higher scores on the protection-motivation-theory-based motivation scale cause higher likelihood of adequate anticoagulant adherence (pharmacy PDC ≥ 80%) within six weeks after discharge from hip or knee arthroplasty.</w:t>
      </w:r>
    </w:p>
    <w:p>
      <w:r>
        <w:t xml:space="preserve"> </w:t>
      </w:r>
    </w:p>
    <w:p>
      <w:pPr>
        <w:pStyle w:val="Heading2"/>
      </w:pPr>
      <w:r>
        <w:t>Related Work</w:t>
      </w:r>
    </w:p>
    <w:p>
      <w:r>
        <w:t>Existing work includes general medication adherence questionnaires, disease-specific self-efficacy measures, and several PMT-based instruments applied to preventive health behaviors. Limitations across prior approaches are: lack of instruments tailored to post-arthroplasty DVT prophylaxis, weak grounding in both qualitative patient input and PMT constructs together, small or convenience samples without independent validation, scarce use of objective adherence anchors (e.g., pharmacy PDC or nurse logs), limited modern psychometric methods (few studies use item response theory or bifactor analysis), inadequate testing for group invariance (surgery type, anticoagulant modality), and minimal guidance for clinical action thresholds. Prior scales therefore do not reliably capture modality-specific (pill vs injection) practical barriers or demonstrate predictive validity for short-term postdischarge adherence and clinical events.</w:t>
      </w:r>
    </w:p>
    <w:p>
      <w:r>
        <w:t xml:space="preserve"> </w:t>
      </w:r>
    </w:p>
    <w:p>
      <w:pPr>
        <w:pStyle w:val="Heading2"/>
      </w:pPr>
      <w:r>
        <w:t>Abstract</w:t>
      </w:r>
    </w:p>
    <w:p>
      <w:r>
        <w:t>Postdischarge prophylaxis with anticoagulants reduces venous thromboembolism after hip and knee arthroplasty but adherence is often incomplete. We propose to develop and validate a protection-motivation-theory (PMT) grounded motivation scale that measures patients' cognitive drivers for DVT prophylaxis during the first 2–6 weeks after hospital discharge. The approach uses mixed methods: generate items from literature, patient interviews, and expert review; evaluate content validity; then test psychometric properties in a large cross-sectional sample with independent split-samples for exploratory and confirmatory analyses. We will assess dimensionality, reliability, and item functioning, test measurement invariance across key subgroups, and establish predictive validity against objective adherence (pharmacy PDC) and clinical events. The main contributions are a theory-aligned, patient-informed instrument specific to post-arthroplasty prophylaxis and a preregistered psychometric pipeline that yields interpretable subscales, scoring rules, and clinical cutpoints for triage. Expected outcomes are a validated tool to identify patients at risk of poor adherence and a foundation for targeted adherence support.</w:t>
      </w:r>
    </w:p>
    <w:p>
      <w:r>
        <w:t xml:space="preserve"> </w:t>
      </w:r>
    </w:p>
    <w:p>
      <w:pPr>
        <w:pStyle w:val="Heading2"/>
      </w:pPr>
      <w:r>
        <w:t>Methodology</w:t>
      </w:r>
    </w:p>
    <w:p>
      <w:r>
        <w:t>1) Item generation: perform a focused literature review and conduct 20–25 purposive semi-structured interviews with diverse post-arthroplasty patients. Write single-idea items mapped to PMT domains: perceived severity, perceived vulnerability, response efficacy, self-efficacy, response costs, and optional maladaptive rewards or fear arousal. 2) Content validation: convene a 5–8 member expert panel to rate relevance and clarity and compute item-level and scale-level Content Validity Index (I-CVI, S-CVI). Revise items using cognitive interview feedback. 3) Pilot and fielding: build the questionnaire in REDCap and collect a cross-sectional survey with target sample sizes (see Experiments). Collect objective adherence anchors: pharmacy Proportion of Days Covered (PDC), home-nurse injection logs, and self-report missed-dose logs. 4) Exploratory factor analysis (EFA): treat Likert items as ordinal; use principal axis factoring (PAF) with oblique rotation to identify factor structure. Parallel analysis will guide factor retention. 5) Confirmatory factor analysis (CFA): on an independent sample test the EFA solution; use an estimator appropriate for ordinal data to obtain fit indices (CFI, RMSEA, SRMR). 6) Dimensionality and scoring: fit higher-order and bifactor models and compute explained common variance (ECV) and omega hierarchical to decide on total vs subscale scores. Bifactor: a model with a general factor plus domain-specific factors. 7) Item response theory (IRT): fit a graded response model (GRM) to estimate item discrimination (how well an item differentiates people) and difficulty/thresholds (points on the trait where response changes). 8) Differential item functioning (DIF): test items for bias across groups (surgery type, anticoagulant type, sex, age) and flag items for revision or removal. 9) Reliability: compute internal consistency (omega, alpha) and test–retest intraclass correlation coefficient (ICC) over 1–2 weeks in 50–100 participants. 10) Predictive validity: model adherence (PDC ≥80%) using logistic regression and time-to-event clinical outcomes with Cox models; include covariates such as age, prior VTE, renal function, and anticoagulant type. 11) Missing data: assess missingness mechanism; use full-information methods for psychometric models and multiple imputation (MICE) for predictive analyses. 12) Documentation: preregister the analysis plan and share deidentified item-level data and code.</w:t>
      </w:r>
    </w:p>
    <w:p>
      <w:r>
        <w:t xml:space="preserve"> </w:t>
      </w:r>
    </w:p>
    <w:p>
      <w:pPr>
        <w:pStyle w:val="Heading2"/>
      </w:pPr>
      <w:r>
        <w:t>Experiments</w:t>
      </w:r>
    </w:p>
    <w:p>
      <w:r>
        <w:t>Datasets: 1) Qualitative: 20–25 purposive interviews and cognitive debriefs. 2) Quantitative: target total N ≈ 600; split into EFA sample N≥300 and independent CFA sample N≥300. Test–retest subsample N=50–100. Subgroup samples: aim for ≥200 per key subgroup (hip vs knee; anticoagulant class) when possible. Baselines: compare against an existing brief adherence self-report scale (baseline adherence questionnaire) and a general self-efficacy measure. Evaluation metrics: EFA factor loadings (retain ≥0.40), communalities (≥0.30), parallel analysis outcome for factor count; CFA fit indices CFI (target ≥0.90), RMSEA (≤0.08), SRMR (≤0.08); reliability: omega total and omega hierarchical, Cronbach's alpha, ICC for test–retest (target ICC≥0.70); IRT: item discrimination parameters and threshold locations; DIF: p-values and effect sizes (flag substantive DIF). Predictive metrics: area under the ROC curve (AUC) for PDC ≥80%, sensitivity, specificity, positive predictive value at chosen cutpoint, calibration slope, and Cox model hazard ratios for DVT/PE with event-per-variable (EPV) reported. Experimental setup: 1) Generate initial 40–60 items; use expert CVI to trim to ~40; run EFA on sample 1 to reduce to 20–30 items per pre-specified psychometric rules. 2) Run CFA on sample 2 to confirm structure; test higher-order and bifactor models and decide scoring. 3) Fit GRM IRT on combined data to inspect item parameters and run DIF tests across groups. 4) Predictive tests: regress adherence outcome (PDC ≥80%) on scale scores controlling for covariates; report adjusted odds ratios, AUC, and bootstrap 95% CIs. Ablation studies: A) remove optional fear-arousal items and compare AUC change; B) compare total-score versus domain subscale scoring for predictive performance; C) compare logistic regression with and without IRT-derived item weighting. All analyses treat Likert items as ordinal; report exact sample sizes, missing-data proportions, and imputation details.</w:t>
      </w:r>
    </w:p>
    <w:p>
      <w:r>
        <w:t xml:space="preserve"> </w:t>
      </w:r>
    </w:p>
    <w:p>
      <w:pPr>
        <w:pStyle w:val="Heading2"/>
      </w:pPr>
      <w:r>
        <w:t>Risk Factors And Limitations</w:t>
      </w:r>
    </w:p>
    <w:p>
      <w:r>
        <w:t>Low event counts: symptomatic DVT/PE are rare in short follow-up, limiting power for clinical outcome prediction and cutpoint derivation. Recruitment and subgroup sizes: difficulty reaching target N or subgroup Ns (&lt;200) will reduce reliability of invariance and DIF testing. Proxy and cognitive impairment: proxy responses may not reflect patient motivation and may bias results; eligibility and separate analyses may be required. Self-report bias: social desirability and recall errors can distort item responses. Missing data patterns: nonrandom missingness could bias imputation and model estimates. Floor or ceiling effects: items with extreme response clustering reduce discrimination. Generalizability: sample drawn from specific health systems may not represent other populations or cultural contexts. IRT and bifactor models: technical complexity and small samples can lead to unstable parameter estimates. Operational burden: scale length, data collection logistics, and deployment workflows may limit clinical uptake. Ethical and legal constraints: proxy consent, data sharing, and privacy rules may restrict data availability for validation.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