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optimal_bank_capital_tradeoff</w:t>
      </w:r>
    </w:p>
    <w:p>
      <w:r>
        <w:t xml:space="preserve"> </w:t>
      </w:r>
    </w:p>
    <w:p>
      <w:pPr>
        <w:pStyle w:val="Heading2"/>
      </w:pPr>
      <w:r>
        <w:t>Title</w:t>
      </w:r>
    </w:p>
    <w:p>
      <w:r>
        <w:t>A hybrid Merton and cost-of-leverage framework to compute optimal bank capital and WACC under liquidity premia and tax-shield trade-offs</w:t>
      </w:r>
    </w:p>
    <w:p>
      <w:r>
        <w:t xml:space="preserve"> </w:t>
      </w:r>
    </w:p>
    <w:p>
      <w:pPr>
        <w:pStyle w:val="Heading2"/>
      </w:pPr>
      <w:r>
        <w:t>Short Hypothesis</w:t>
      </w:r>
    </w:p>
    <w:p>
      <w:r>
        <w:t>Increasing a bank's equity-to-assets ratio reduces its weighted average cost of capital (WACC) up to an interior optimum because higher equity lowers default probability and liquidity premia (reducing distress costs) while further equity increases raise WACC through loss of debt tax shields and issuance frictions.</w:t>
      </w:r>
    </w:p>
    <w:p>
      <w:r>
        <w:t xml:space="preserve"> </w:t>
      </w:r>
    </w:p>
    <w:p>
      <w:pPr>
        <w:pStyle w:val="Heading2"/>
      </w:pPr>
      <w:r>
        <w:t>Related Work</w:t>
      </w:r>
    </w:p>
    <w:p>
      <w:r>
        <w:t>Existing approaches split into structural default models (Merton-style) used to price default risk and corporate finance trade-off models that value tax shields and distress costs. Fernandez-style cost-of-leverage models quantify distress convexity but typically ignore state-dependent liquidity premia and tranche-level recovery rules. Empirical work estimating liquidity premia often treats spreads as reduced-form outcomes, facing endogeneity with bank risk and measurement error in latent assets. Calibration efforts frequently price under a risk-neutral measure without transparent Q→P mapping or robust ξ estimation. Network/contagion studies reconstruct interbank links but seldom integrate optimal bank capital derived from structural trade-offs. Limitations: weak instrument and identification challenges for liquidity and distress-cost parameters; incomplete treatment of tax heterogeneity, resolution regimes, and recovery dynamics; and sensitivity to volatility/jump misspecification and latent-state estimation errors.</w:t>
      </w:r>
    </w:p>
    <w:p>
      <w:r>
        <w:t xml:space="preserve"> </w:t>
      </w:r>
    </w:p>
    <w:p>
      <w:pPr>
        <w:pStyle w:val="Heading2"/>
      </w:pPr>
      <w:r>
        <w:t>Abstract</w:t>
      </w:r>
    </w:p>
    <w:p>
      <w:r>
        <w:t>We develop a hybrid structural framework that integrates a Merton option-pricing default model with a Fernandez-style cost-of-leverage to compute optimal bank capital and the effect of equity on weighted average cost of capital (WACC). The model prices contingent claims under the risk-neutral measure and maps to physical outcomes via a calibrated market-price-of-risk parameter ξ. It values debt tax shields exactly as a contingent-claim integral, incorporates tranche- and maturity-specific recoveries, and allows liquidity premia that are linear, convex, or state-interaction functions of default probability and funding mix. We estimate liquidity and distress-cost parameters using an extended Kalman filter for latent assets, SIMEX for measurement-error correction, and IV/SMM methods with Monte Carlo power diagnostics. The main contribution is a reproducible pipeline that yields bank- and country-level optimal debt (D*), WACC responses, and regulator-ready metrics (MES, systemic EL) with quantified uncertainty. Expected outcomes include well-identified policy-sensitive capital profiles and stress-scenario maps linking tax, liquidity, and resolution features to capital requirements.</w:t>
      </w:r>
    </w:p>
    <w:p>
      <w:r>
        <w:t xml:space="preserve"> </w:t>
      </w:r>
    </w:p>
    <w:p>
      <w:pPr>
        <w:pStyle w:val="Heading2"/>
      </w:pPr>
      <w:r>
        <w:t>Methodology</w:t>
      </w:r>
    </w:p>
    <w:p>
      <w:r>
        <w:t>1) Model core: Represent bank assets A_t as a geometric Brownian motion (GBM) under Q for pricing; default occurs if asset value A_T &lt; debt face D at maturity T. Use Merton closed forms to compute risk-neutral default probability p_def_Q = N(-d2) and equity value E. 2) Value tax shield exactly as PV_TS = τ ∫_0^T D(t)·S_Q(t)·e^{-r t} dt where S_Q(t) is Q-survival probability; allow τ(t) across tranches. 3) Cost-of-leverage: adopt Fernandez cost C(L)=γ·L^η·A with L = D/A and allow γ,η to vary by resolution regime. 4) Liquidity premium λ(·): specify and test three forms: linear λ0+λ1·p_def, convex λ0+λ1·p_def^α, and state-interaction λ0+λ1·p_def+λ2·WholesaleShare+λ3·(p_def·Maturity). 5) Objective and optimizer: define firm value V(D)=A + PV_TS − C(L) − expected_default_loss (discounted); numerically maximize V(D) over feasible D, using semi-analytic derivatives (∂p_def/∂D etc.) and global grid plus local Newton/Broyden refinement. 6) Latent-state estimation: run an Extended Kalman Filter (EKF) to infer A_t and σ_t from equity prices and CDS; fall back to particle filter (5k particles) for illiquid cases. Explain EKF: a fast filter that updates estimates using a linear approximation; particle filter: simulates many possible paths to approximate the full distribution. 7) Q→P mapping: calibrate ξ from μ̂ = r + ξ·σ̂ across banks (grid search + local refine); test flexible mappings μ−r = ξ1·σ + ξ2·σ^2+covariates and consider joint estimation of ξ in state-space. 8) Inference: estimate λ,γ,η with IV panel regressions and SMM where moments include spread fits and realized distress losses; use SIMEX (additive/multiplicative noise grid) to correct attenuation from latent-state measurement error. 9) Robustness: run Heston stochastic-volatility and Merton-Bates jump-diffusion simulations to check bias. 10) Policy outputs: compute D*, WACC, p_def under Q and P, CET1*, MES, system EL and stress scenarios.</w:t>
      </w:r>
    </w:p>
    <w:p>
      <w:r>
        <w:t xml:space="preserve"> </w:t>
      </w:r>
    </w:p>
    <w:p>
      <w:pPr>
        <w:pStyle w:val="Heading2"/>
      </w:pPr>
      <w:r>
        <w:t>Experiments</w:t>
      </w:r>
    </w:p>
    <w:p>
      <w:r>
        <w:t>Datasets: bank equity prices (daily), CDS spreads, bond funding spreads, balance-sheet data (debt maturities, wholesale funding share), tax/regulatory metadata (statutory rates, thin-cap rules, TLAC dates), documented resolution events, and interbank exposure matrices (where available). Baselines: (A) Merton-only benchmark (no tax-shield cost or liquidity premium), (B) Fernandez cost-of-leverage without Merton default probabilities, (C) full hybrid with λ linear, (D) full hybrid with λ convex, (E) full hybrid with λ state-interaction. Evaluation metrics: WACC change (%) vs baseline, optimal debt D* and CET1*, Q- and P-default probabilities, RMSE of model-implied spreads vs observed spreads, first-stage Cragg-Donald F-statistics, Kleibergen-Paap, Hansen J overidentification p-value, Monte Carlo bias and RMSE for λ,γ,η, coverage of 90% uncertainty bands, and empirical power. Experimental setup: Stage A - EKF estimate latent A and σ per bank over sample; use SIMEX noise grid {0.5,1.0,1.5,2.0} (multiplicative and additive variants) with extrapolation polynomials order 2 and 3. Stage B - IV-FE and SMM fit λ,γ,η with instruments set {lagged VIX, repo spread, resolution dummies, lagged volatility}; run Monte Carlo panels with N ∈ {200,500,1000}, T ∈ {40,80}, instrument correlation ρ ∈ {0.2,0.5,0.8}, measurement-noise multiples {1,2}; compute F-stat and empirical power (&gt;80% target). Ablation studies: (i) remove SIMEX (measure attenuation), (ii) fix ξ vs joint-estimate ξ, (iii) ignore liquidity premium, (iv) replace GBM with Heston/jump data to assess misspecification. Numerical settings: 1,000 posterior draws for uncertainty propagation, particle filter 5,000 particles when used, solver tolerance 1e-6.</w:t>
      </w:r>
    </w:p>
    <w:p>
      <w:r>
        <w:t xml:space="preserve"> </w:t>
      </w:r>
    </w:p>
    <w:p>
      <w:pPr>
        <w:pStyle w:val="Heading2"/>
      </w:pPr>
      <w:r>
        <w:t>Risk Factors And Limitations</w:t>
      </w:r>
    </w:p>
    <w:p>
      <w:r>
        <w:t>1) Identification and endogeneity: funding spreads and default risk are potentially simultaneous; proposed instruments (VIX, repo, resolution dummies) may fail exclusion in practice and yield weak first stages. 2) ξ-mapping mis-specification: linear μ = r+ξσ may be restrictive; ξ heterogeneity across banks/countries can bias P-measure outputs and policy recommendations. 3) EKF observability: illiquid equity or absent CDS data reduce signal-to-noise, making EKF unreliable and forcing costly particle-filter inference. 4) Measurement-error correction sensitivity: SIMEX design choices (additive vs multiplicative, noise grid, extrapolation order) affect bias/variance tradeoffs. 5) Recovery and resolution uncertainty: tranche-level recoveries and bail-in vs bailout assumptions are hard to identify and materially affect optimal D*. 6) Model misspecification: unmodeled stochastic volatility or jumps can bias parameter estimates and D*; robustness checks increase compute. 7) Data gaps and network reconstruction: missing interbank exposure data limit contagion analysis and introduce imputation uncertainty. 8) Computational cost: particle filters, global grid searches and Monte Carlo power maps require significant compute and may not scale to very large bank samples within tight deadlines. 9) Generalization: calibration across jurisdictions with heterogeneous tax and regulatory regimes may not transfer cleanly; findings are context-dependent.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