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sustained_csat_bank_revenue</w:t>
      </w:r>
    </w:p>
    <w:p>
      <w:r>
        <w:t xml:space="preserve"> </w:t>
      </w:r>
    </w:p>
    <w:p>
      <w:pPr>
        <w:pStyle w:val="Heading2"/>
      </w:pPr>
      <w:r>
        <w:t>Title</w:t>
      </w:r>
    </w:p>
    <w:p>
      <w:r>
        <w:t>Estimating sustained causal effects of customer satisfaction on individual bank revenue using linked survey and transactional data with joint longitudinal–survival and weighting methods</w:t>
      </w:r>
    </w:p>
    <w:p>
      <w:r>
        <w:t xml:space="preserve"> </w:t>
      </w:r>
    </w:p>
    <w:p>
      <w:pPr>
        <w:pStyle w:val="Heading2"/>
      </w:pPr>
      <w:r>
        <w:t>Short Hypothesis</w:t>
      </w:r>
    </w:p>
    <w:p>
      <w:r>
        <w:t>Higher baseline customer satisfaction causes larger individual-level bank revenue growth over the subsequent four years, with diminishing marginal returns at the top of the satisfaction distribution.</w:t>
      </w:r>
    </w:p>
    <w:p>
      <w:r>
        <w:t xml:space="preserve"> </w:t>
      </w:r>
    </w:p>
    <w:p>
      <w:pPr>
        <w:pStyle w:val="Heading2"/>
      </w:pPr>
      <w:r>
        <w:t>Related Work</w:t>
      </w:r>
    </w:p>
    <w:p>
      <w:r>
        <w:t>Prior studies report positive correlations between customer satisfaction and firm revenue or customer lifetime value, but most use aggregate or cross-sectional data or rely on simple panel regressions. Common weaknesses are (1) limited causal identification—few studies jointly address attrition/churn and revenue; (2) inadequate correction for survey nonresponse and measurement error in satisfaction; (3) sparse use of linked individual-level transactional records; (4) limited treatment of nonlinear effects and heterogeneity across satisfaction tiers; and (5) insufficient pre-specified sensitivity and reproducibility protocols. Instrumental variable attempts are often under-validated and dynamic panel bias is not always corrected. These gaps leave open whether satisfaction causes sustained individual revenue growth and how effects vary by satisfaction level.</w:t>
      </w:r>
    </w:p>
    <w:p>
      <w:r>
        <w:t xml:space="preserve"> </w:t>
      </w:r>
    </w:p>
    <w:p>
      <w:pPr>
        <w:pStyle w:val="Heading2"/>
      </w:pPr>
      <w:r>
        <w:t>Abstract</w:t>
      </w:r>
    </w:p>
    <w:p>
      <w:r>
        <w:t>This study investigates whether baseline customer satisfaction causally drives sustained individual bank revenue growth over one to four years. Using linked survey responses and objective transaction records for 19,060 retail customers, we estimate year-by-year effects and cumulative impact while addressing key threats: survey nonresponse, measurement error in satisfaction, attrition/churn, nonlinear dose–response, and joint accounts. Methodologically, we derive a latent satisfaction score via confirmatory factor analysis or item-response modeling, apply inverse-probability weighting for survey response, and compare two attrition corrections: inverse-probability-of-censoring weights (IPCW) and a shared-parameter joint longitudinal–survival model that links mixed-effects revenue to a hazard for churn. Primary estimation uses bias-corrected customer fixed-effects dynamic panels with restricted cubic splines for nonlinearity; IV (2SLS FE) is used only conditional on strict validation. The main contributions are sustained, individual-level causal estimates of satisfaction on revenue, characterization of diminishing returns across tiers, and a prespecified sensitivity and reproducibility suite to support credible inference.</w:t>
      </w:r>
    </w:p>
    <w:p>
      <w:r>
        <w:t xml:space="preserve"> </w:t>
      </w:r>
    </w:p>
    <w:p>
      <w:pPr>
        <w:pStyle w:val="Heading2"/>
      </w:pPr>
      <w:r>
        <w:t>Methodology</w:t>
      </w:r>
    </w:p>
    <w:p>
      <w:r>
        <w:t>1) Data linkage and panels: link survey records to bank transactions inside a secure enclave; build customer-year panels with baseline window (−12 months) and outcome windows Year1 = months 1–12, Year2 = 13–24, Year3 = 25–36, Year4 = 37–48 after survey completion date t0. 2) Latent satisfaction: fit CFA or IRT to survey items to produce a latent score (one-dimensional). Technical note: CFA/IRT estimate a latent variable that explains item responses; reliability (omega) measures score precision. 3) Survey nonresponse: estimate response propensity with logistic regression and gradient-boosted trees; compute inverse-probability weights (IPW), trim at the 99th percentile and cap max weight at 10. 4) Attrition/churn: implement IPCW using a discrete-time hazard model for staying; in parallel fit a shared-parameter joint model that links a linear mixed model for annual revenue (customer random intercept/slope) to a Cox or discrete hazard for time-to-churn via shared random effects. Shared random effects mean unobserved customer tendencies affect both revenue and churn. 5) Primary estimation: bias-corrected fixed-effects dynamic panel (Kiviet/Bruno style) with customer and calendar-year fixed effects; secondary: system-GMM. Include restricted cubic splines (3 knots) on latent satisfaction to capture nonlinearity; also report tiered estimates (detractor/neutral/promoter). 6) IVs: pre-specify instruments (randomized invite timing/mode, branch operational shocks, scheduled IT outages) and run strict validation (first-stage F&gt;10, partial R2, placebo outcomes, covariate balance, McCrary/event-time checks). 7) Measurement error: if reliability ≥0.70 apply regression calibration (divide naive coefficient by reliability); also run Bayesian latent-variable models to propagate uncertainty. 8) Joint accounts: primary allocation = proportional by average account balance; produce sensitivity variants (exclude joint accounts; equal split). 9) Inference: cluster standard errors by customer and by branch where appropriate; use wild-cluster bootstrap if cluster counts are small. 10) Reproducibility: provide Dockerized code, synthpop de-identified data, and full analysis scripts.</w:t>
      </w:r>
    </w:p>
    <w:p>
      <w:r>
        <w:t xml:space="preserve"> </w:t>
      </w:r>
    </w:p>
    <w:p>
      <w:pPr>
        <w:pStyle w:val="Heading2"/>
      </w:pPr>
      <w:r>
        <w:t>Experiments</w:t>
      </w:r>
    </w:p>
    <w:p>
      <w:r>
        <w:t>Datasets: (A) Primary: linked Swedish retail dataset of N=19,060 customers with survey + 4 years of transactional data; (B) Synthetic datasets: several simulated DGPs for pre-registration checks. Baselines: (1) naive OLS on raw satisfaction sum with customer FE; (2) FE + IPW for survey nonresponse; (3) FE + IPCW for attrition; (4) joint shared-parameter model predictions; (5) 2SLS FE using pre-specified instruments if validation passes. Evaluation metrics: year-specific treatment coefficients β1..β4 (point estimates), cumulative Σ_{k=1..4}β_k, standard errors and 95% CIs, bias and RMSE in simulations, coverage rates, minimum detectable effects (MDE), and effective sample size after weighting. Modeling details: outcome defined as annual revenue level and report logged revenue as sensitivity; report both raw and transformed. Pre-specified rules: spline knots = 3; weight trimming at 99th percentile with max = 10; IV first-stage F&gt;10; reliability cutoff = 0.70 for regression-calibration. Ablation studies: (A) measurement-error ablation: latent-score Bayesian propagation vs no correction; (B) attrition ablation: IPCW-only vs joint model; (C) joint-account ablation: proportional allocation vs exclusion. Simulation experiments: Monte Carlo with N=19,060, T=5, AR(1) revenue persistence ρ∈{0.3,0.6,0.8}, varying measurement-error variance and attrition mechanisms (MCAR, MAR, MNAR) to evaluate estimator bias, RMSE, and CI coverage. Inference: cluster by customer; two-way cluster (customer × branch) for branch-level instruments; use wild-cluster bootstrap when branch clusters &lt;30. Report pre-registered familywise multiple-testing corrections (Holm) for primary year-by-year tests and FDR for exploratory scans.</w:t>
      </w:r>
    </w:p>
    <w:p>
      <w:r>
        <w:t xml:space="preserve"> </w:t>
      </w:r>
    </w:p>
    <w:p>
      <w:pPr>
        <w:pStyle w:val="Heading2"/>
      </w:pPr>
      <w:r>
        <w:t>Risk Factors And Limitations</w:t>
      </w:r>
    </w:p>
    <w:p>
      <w:r>
        <w:t>1) Residual confounding: unobserved time-varying factors correlated with satisfaction and future revenue may bias estimates. 2) IV invalidity: instruments (invite timing/mode, branch shocks) may violate exclusion if they affect revenue via channels other than satisfaction. 3) Attrition MNAR: informative censoring beyond modeled covariates can bias IPCW and joint-model results. 4) Measurement error: low reliability of satisfaction items reduces power and can produce noisy corrections; regression-calibration assumes classical measurement error. 5) Joint-account misallocation: erroneously assigning revenue in joint accounts can bias individual growth estimates. 6) Outcome distribution: revenue is skewed with zeros and heavy tails; transformations may not fully resolve heteroskedasticity. 7) Instrument weakness and small cluster counts: weak first-stage or few branches reduce credibility of IV and clustered inference. 8) Generalizability: results from one Swedish retail bank sample may not transfer to different markets or business models. 9) Data governance constraints: privacy rules may limit public sharing and external validation of linked data. 10) Computational scale: joint Bayesian models and large Monte-Carlo simulations can be compute-intensive and slow.</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