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maternal_ses_harmonized_rank_mobility</w:t>
      </w:r>
    </w:p>
    <w:p>
      <w:r>
        <w:t xml:space="preserve"> </w:t>
      </w:r>
    </w:p>
    <w:p>
      <w:pPr>
        <w:pStyle w:val="Heading2"/>
      </w:pPr>
      <w:r>
        <w:t>Title</w:t>
      </w:r>
    </w:p>
    <w:p>
      <w:r>
        <w:t>Harmonized analysis of maternal and paternal education and occupation on intergenerational rank mobility in five Latin American countries using measurement‑error propagation and quasi‑experimental identification</w:t>
      </w:r>
    </w:p>
    <w:p>
      <w:r>
        <w:t xml:space="preserve"> </w:t>
      </w:r>
    </w:p>
    <w:p>
      <w:pPr>
        <w:pStyle w:val="Heading2"/>
      </w:pPr>
      <w:r>
        <w:t>Short Hypothesis</w:t>
      </w:r>
    </w:p>
    <w:p>
      <w:r>
        <w:t>Higher maternal human capital, measured by maternal years of schooling and occupational status, causally increases children's education and income percentiles conditional on paternal human capital.</w:t>
      </w:r>
    </w:p>
    <w:p>
      <w:r>
        <w:t xml:space="preserve"> </w:t>
      </w:r>
    </w:p>
    <w:p>
      <w:pPr>
        <w:pStyle w:val="Heading2"/>
      </w:pPr>
      <w:r>
        <w:t>Related Work</w:t>
      </w:r>
    </w:p>
    <w:p>
      <w:r>
        <w:t>Existing literature documents low intergenerational mobility in Latin America and finds that parental background—often proxied by education or occupation—strongly predicts child outcomes. Many studies use single proxies (commonly father's education or household assets), apply country‑specific codings, or omit systematic treatment of maternal non‑labour roles (e.g., homemakers). Common estimation strategies include rank–rank slopes, IGEs (income elasticity), IVs exploiting schooling reforms, and sibling fixed effects. Limitations include inconsistent cross‑country harmonization of education and occupations, weak propagation of occupation coding error into inference, inadequate treatment of missing or absent parents, limited MNAR sensitivity analyses, and few studies that jointly harmonize parental education and occupation across multiple countries and cohorts while pre‑specifying robustness checks for maternal selection into homemaking.</w:t>
      </w:r>
    </w:p>
    <w:p>
      <w:r>
        <w:t xml:space="preserve"> </w:t>
      </w:r>
    </w:p>
    <w:p>
      <w:pPr>
        <w:pStyle w:val="Heading2"/>
      </w:pPr>
      <w:r>
        <w:t>Abstract</w:t>
      </w:r>
    </w:p>
    <w:p>
      <w:r>
        <w:t>We study how maternal and paternal education and occupation jointly predict children’s education and income ranks across Brazil, Chile, Ecuador, Mexico, and Panama. We harmonize parental education to ISCED‑aligned years of schooling and parental occupations to ISCO‑08 using a bilingual NLP mapping with manual validation. We build a latent family SES factor via multi‑group confirmatory factor analysis (CFA) with alignment optimization to achieve comparability across countries and cohorts. To reflect coding and missing‑data uncertainty, we combine multiple imputation (MICE, m=50) with a mapping‑bootstrap that propagates occupation‑mapping uncertainty into standard errors. Descriptive estimands include rank–rank slopes and transition matrices; causal checks use sibling fixed effects and IVs where cohort‑specific schooling reforms provide strong first stages. We pre‑specify sensitivity analyses for homemaker selection (control‑function, MNAR bounds, IV vs FE comparisons) and measurement error corrections (latent SEM or SIMEX). The contribution is a transparent, reproducible cross‑country estimate of maternal informativeness in mobility with uncertainty that includes harmonization and missing‑data processes.</w:t>
      </w:r>
    </w:p>
    <w:p>
      <w:r>
        <w:t xml:space="preserve"> </w:t>
      </w:r>
    </w:p>
    <w:p>
      <w:pPr>
        <w:pStyle w:val="Heading2"/>
      </w:pPr>
      <w:r>
        <w:t>Methodology</w:t>
      </w:r>
    </w:p>
    <w:p>
      <w:r>
        <w:t>1) Data ingest: collect representative household surveys and census microdata for the five countries with parental education and occupation fields across multiple waves. 2) Education harmonization: convert reported attainment to years of schooling and ISCED categories. (ISCED is an international system that groups education levels; years of schooling is a simple count.) 3) Occupation harmonization: preprocess free‑text job titles in Spanish/Portuguese (normalize, expand abbreviations), embed text with multilingual SBERT (a sentence encoder), and match to ISCO‑08 codes by nearest neighbor; assign a confidence score per record; auto‑accept high confidence, queue medium for manual review, force manual for low confidence. 4) Occupational status indices: map ISCO codes to continuous status scores (ISEI/SIOPS). (These scores place jobs on a social‑status scale.) 5) Validation: blind double‑code a 10–20% sample (minimum 300–500 records) to estimate Cohen’s kappa and report precision/recall at 2‑digit ISCO. 6) Latent SES: combine mother's and father's years of schooling, occupational status, and household assets into a latent SES factor via multi‑group CFA; test configural/metric/scalar invariance and apply alignment optimization when strict invariance fails. (CFA finds a common factor; alignment lets loadings vary where needed.) 7) Rank construction: compute cohort‑specific percentiles for child schooling and income separately. 8) Missing data: run MICE with m=50 using rich predictors (child outcomes, household covariates, caregiving indicators, survey design variables). 9) Propagate occupation mapping uncertainty: draw multiple mapping realizations (mapping‑bootstrap, e.g., 100–200 draws) where ambiguous mappings are sampled according to NLP confidence; for each draw run imputation, latent SES estimation, and final estimands; combine within‑ and between‑draw variance (extended Rubin pooling) so SEs include mapping error. 10) Estimation: descriptive rank–rank OLS, transition matrices, and IGE (log income elasticity). Controls: cohort dummies, child gender, urban/rural, indigenous indicator, parental ages, survey wave FE. Use survey weights, strata, PSU and cluster at family. 11) Causal checks: sibling fixed effects, IVs using pre‑specified cohort‑based compulsory schooling reforms (require first‑stage F&gt;10), and control‑function specifications for maternal homemaker selection. 12) Sensitivity: MNAR bounds (Manski, pattern‑mixture), Lee trimming for attrition, alternative codings for homemakers (binary flag, imputed continuous status, lowest‑status assignment), and robustness to rank methods (fractional ranks, pooled vs cohort ranks). 13) Reproducibility: implement steps in a Snakemake workflow with Docker containers; document all crosswalks and paradata.</w:t>
      </w:r>
    </w:p>
    <w:p>
      <w:r>
        <w:t xml:space="preserve"> </w:t>
      </w:r>
    </w:p>
    <w:p>
      <w:pPr>
        <w:pStyle w:val="Heading2"/>
      </w:pPr>
      <w:r>
        <w:t>Experiments</w:t>
      </w:r>
    </w:p>
    <w:p>
      <w:r>
        <w:t>Datasets: harmonized household surveys/censuses for Brazil, Chile, Ecuador, Mexico, Panama across available cohorts with parental education/occupation. Baselines: (A) father‑only SES (education or occupation) model, (B) mother‑only SES model, (C) unharmonized family SES (naive codes), (D) harmonized family SES without mapping‑bootstrap. Primary metrics: rank–rank slope (child percentile on family SES percentile), parent quintile → child quintile transition matrix, IGE (log income elasticity), R2 and partial R2, standard errors that include mapping and imputation variance, Cohen’s kappa for mapping validation, coverage of 95% CIs in simulation. Experimental steps: 1) Construct harmonized education and occupation; run mapping pipeline and validation. 2) Produce latent SES via CFA/alignment. 3) Run MICE (m=50) and compute cohort percentiles; estimate descriptive rank–rank regressions with clustered bootstrap (1,000 replications). 4) Run mapping‑bootstrap (e.g., 100 draws) × MI pipeline; combine estimates to obtain final SEs. 5) Causal tests: (a) sibling fixed effects rank regressions, (b) IV regressions using pre‑specified schooling reforms (report first‑stage F and weak‑IV diagnostics), (c) control‑function models for homemaker indicator. 6) Ablation studies: remove mapping‑bootstrap to measure difference in SEs and point estimates; alternative homemaker treatments (impute vs lowest vs exclude); alternative rank definitions (cohort vs pooled); latent SES with constrained equal parent loadings vs free loadings. 7) Evaluation: compare baseline and proposed method on point estimates and SEs; report heterogeneity by child gender, single‑mother households, indigenous status, and maternal formal/informal employment. 8) Power checks: compute minimum detectable effect for rank–rank slope (target 0.05 at 80% power) per country and per subgroup. 9) Reporting: publish tables for primary, causal, and sensitivity analyses plus plots showing MI CI, IPW estimates, and shaded MNAR/Lee/Manski bounds. 10) Reproducibility: include code, crosswalks, and synthetic data in replication package.</w:t>
      </w:r>
    </w:p>
    <w:p>
      <w:r>
        <w:t xml:space="preserve"> </w:t>
      </w:r>
    </w:p>
    <w:p>
      <w:pPr>
        <w:pStyle w:val="Heading2"/>
      </w:pPr>
      <w:r>
        <w:t>Risk Factors And Limitations</w:t>
      </w:r>
    </w:p>
    <w:p>
      <w:r>
        <w:t>1) Data availability and sample size: some countries or subgroups (e.g., Panama, indigenous groups, sibling pairs) may have small N, limiting precision and power. 2) Instrument weakness: suitable IVs for maternal education or employment may be absent or weak (low first‑stage F), undermining causal claims. 3) Selection into homemaking: unobserved selection may bias estimates; control‑function and IVs may be imperfect. 4) MNAR and missing data: multiple imputation assumes MAR (missing at random); MNAR scenarios may still bias results despite bounds. 5) Mapping and harmonization error: NLP mapping may misclassify rare/local occupations; manual validation helps but residual misclassification may remain. 6) Computational cost: mapping‑bootstrap × m=50 MI is computationally heavy and may require high‑performance compute or reduced draws. 7) Measurement error: latent SEM or SIMEX corrections reduce but may not fully remove attenuation; remaining measurement error can bias estimates. 8) Cross‑country comparability limits: cultural differences in occupation meanings or schooling systems may limit comparability even after alignment. 9) Legal/ethical constraints: administrative linkage or data sharing may be legally restricted, limiting validation opportunities. 10) Generalizability: results apply to studied cohorts and countries and may not generalize to other regions or later cohorts.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