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ecb_climate_bank_eventstudy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An event-study of ECB climate-related announcements and their effect on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Minute-precise ECB climate-related announcements cause statistically significant abnormal stock returns for European banks, with larger negative abnormal returns for banks with higher transition-risk exposures and for banks under direct ECB supervision.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event-study methods to measure how policy or regulatory communications affect financial asset prices, and climate-finance studies examine how bank valuations respond to climate risk signals. Most prior approaches rely on daily returns and market-model or factor-model expected returns, sometimes adding cross-sectional regressions on exposure metrics or CDS/volatility responses. Limitations remain: many studies lack minute-precise timestamps and intraday analysis to isolate immediate market reactions; few apply microstructure corrections for asynchronous trades and thin trading; exposure measurement error is often unaddressed; finite-sample inference with a small number of events is rarely handled with permutation or wild-cluster bootstraps; and reproducible pre-registered protocols and clear polarity/intensity coding of announcements are uncommon. These gaps reduce causal precision and leave heterogeneity by supervisory status and measurement error largely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five ECB climate-related announcements affect European bank equity prices using a tightly pre-registered event-study with minute-precision timestamps. We compute abnormal returns using intraday and daily market-models and apply microstructure corrections to account for asynchronous trading and thin liquidity. We code announcement polarity and intensity using a documented NLP plus human-adjudication protocol and validate bank exposure proxies against vendor carbon scores. We correct for measurement error with SIMEX and test instrument validity with first-stage diagnostics. Inference uses date-randomization permutation tests, wild-cluster bootstrap, and stepdown multiple-testing to address few-event finite-sample issues. The main contribution is a reproducible pipeline that isolates immediate market reactions to ECB climate communications, quantifies heterogeneity by bank exposure and supervisory status, and reports measurement-error corrected effect sizes and power thresholds. Expected outcomes include robust estimates of direction and magnitude of abnormal returns and transparent diagnostics for policy interpretation.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Event collection: obtain minute-precise timestamps for the five specified ECB announcements and canonical texts. 2) Data assembly: gather intraday trade data and daily prices for listed European banks, STOXX Europe 600 Banks index, bank fundamentals (market cap, CET1, leverage), CDS and option-implied volatility where available, and vendor climate scores and loan-book proxies. 3) Return construction: apply corporate-action adjustments and compute log returns on aligned intraday bins (e.g., 1-min and 5-min) and daily returns. 4) Expected-return models: estimate market-model betas on an estimation window [-250,-31] trading days against STOXX Europe 600 Banks; also compute Fama-French Europe 3-factor (+momentum) betas as robustness. (Market-model: a model that predicts normal returns from a market index.) 5) Microstructure corrections: for daily data implement Scholes–Williams/Dimson betas (which adjust betas for lead/lag bias using ±2 days); for intraday use Hayashi–Yoshida covariation to estimate covariances with asynchronous timestamps and to compute abnormal returns aggregated over ±5 and ±30 minute windows. (Hayashi–Yoshida: method to compute covariance when trades are not simultaneous.) 6) Thin-trading rules: drop intraday bins with &lt;5 trades or volume below the bank-specific 10th percentile; flag securities with average 5-min trades &lt;1. 7) Announcement coding: apply an NLP pipeline to texts to produce polarity (positive/neutral/negative) and continuous intensity scores, then have two human coders adjudicate disagreements; produce a codebook mapping types (supervisory/monetary/strategic). 8) Exposure validation: compute Pearson r and RMSE between loan-book proxies and vendor scores. 9) Measurement-error correction: estimate exposure error variance from cross-vendor RMSE and apply SIMEX (simulation-extrapolation) to correct attenuation. 10) IV strategy: specify candidate instruments (lagged sector loan shares, regional emissions intensity) and require first-stage F&gt;10. 11) Inference: compute abnormal returns (AR) and cumulative AR (CAR) for primary windows [0], [-1,+1], intraday ±5 and ±30 min; use date-randomization permutation (10,000 draws) to build null distributions, two-way clustering (bank×date) for SEs, and wild-cluster bootstrap by date for few-event corrections. 12) Multiple testing: predefine hypothesis families and apply Romano–Wolf stepdown for the primary family and Benjamini–Hochberg for broader sets. 13) Cross-sectional analysis: regress CAR on exposure, SSM indicator, and Exposure×SSM interaction with controls and event fixed effects. 14) Reproducibility: version code and cleaned data meta with Git+DVC and provide synthetic data for replication.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Intraday trades and quotes for listed European banks covering at least 6 months before and 1 month after each event; (b) Daily adjusted prices for the same banks covering [-300,+30] trading days around events; (c) STOXX Europe 600 Banks index and Fama-French Europe factors; (d) bank fundamentals (market cap, CET1, leverage, country); (e) vendor climate scores (e.g., CDP/MSCI) and loan-book carbon-intensity proxies; (f) ECB announcement texts and minute timestamps; (g) CDS spreads and option-implied vol for liquid banks. Baselines: (1) standard daily event-study market-model without microstructure corrections; (2) Fama-French 3-factor model; (3) pooled-beta alternative; (4) no measurement-error correction (naive exposure). Primary evaluation metrics: AR and CAR (in percent), permutation p-values (10,000 draws), clustered standard errors, MDE and power curves for s∈{1.0%,1.5%,2.0%} and N∈{30,50,100,300}, Pearson r and RMSE for exposure validation, Cohen's kappa for coder agreement, first-stage F for IV. Experimental setup: estimation window for betas [-250,-31]; primary daily windows [0] and [-1,+1]; intraday windows ±5 and ±30 minutes; Scholes–Williams/Dimson leads/lags ±2; Hayashi–Yoshida for intraday covariance; thin-trading drop if 5-min trades&lt;5. Inference: date-randomization permutation tests (10,000 draws), Romano–Wolf stepdown, wild-cluster bootstrap clustered by date. Ablation studies: A) remove microstructure corrections; B) use daily-only vs intraday windows; C) include vs exclude SIMEX correction; D) use different thin-trading thresholds (3,5,10 trades); E) alternative polarity measures (NLP-only vs human-adjudicated); F) IV vs naive exposure. Comparisons: report single-event ARs and aggregated random-effects meta-estimates with Hartung-Knapp CI if I2/Q support aggregation. All code will output exact seeds and reproducible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 and licensing: intraday trades and vendor climate scores may be restricted and cannot be fully shared; synthetic data will be needed for replication. 2) Small number of events: five announcements limit power and external validity; finite-sample inference may remain imprecise. 3) Measurement error: loan-book proxies and vendor scores can be noisy, biasing cross-sectional estimates if SIMEX/IV are weak. 4) Weak instruments: candidate IVs may fail first-stage strength (F&lt;10), limiting causal claims. 5) Confounding news: simultaneous macro or firm news can contaminate ARs and may be hard to fully rule out. 6) Thin trading and microstructure noise: illiquid banks produce noisy intraday ARs and may be excluded, biasing sample. 7) Cross-sectional dependence: strong co-movement across banks complicates standard errors and effective sample size. 8) Model misspecification: expected-return model choice affects ARs; robustness does not guarantee identification. 9) Compute and storage: intraday data processing is computationally heavy and requires substantial storage. 10) Limited generalization: results for five ECB announcements and listed banks may not generalize to other communications, non-listed banks, or other jurisdictions.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