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esif_tfp_spatial_temporal_pim</w:t>
      </w:r>
    </w:p>
    <w:p>
      <w:r>
        <w:t xml:space="preserve"> </w:t>
      </w:r>
    </w:p>
    <w:p>
      <w:pPr>
        <w:pStyle w:val="Heading2"/>
      </w:pPr>
      <w:r>
        <w:t>Title</w:t>
      </w:r>
    </w:p>
    <w:p>
      <w:r>
        <w:t>Causal panel analysis of EU cohesion funds on regional total factor productivity growth using PIM-based capital measurement and spatially explicit staggered-IV estimators</w:t>
      </w:r>
    </w:p>
    <w:p>
      <w:r>
        <w:t xml:space="preserve"> </w:t>
      </w:r>
    </w:p>
    <w:p>
      <w:pPr>
        <w:pStyle w:val="Heading2"/>
      </w:pPr>
      <w:r>
        <w:t>Short Hypothesis</w:t>
      </w:r>
    </w:p>
    <w:p>
      <w:r>
        <w:t>Higher annualized ESIF disbursements cause increased regional TFP growth within a three-year horizon, with effect sizes differing systematically by fund type, regional development level, and programming phase.</w:t>
      </w:r>
    </w:p>
    <w:p>
      <w:r>
        <w:t xml:space="preserve"> </w:t>
      </w:r>
    </w:p>
    <w:p>
      <w:pPr>
        <w:pStyle w:val="Heading2"/>
      </w:pPr>
      <w:r>
        <w:t>Related Work</w:t>
      </w:r>
    </w:p>
    <w:p>
      <w:r>
        <w:t>Existing work combines regional productivity measurement, impact evaluation of cohesion funds, and spatial econometrics. Measurement approaches often use the perpetual inventory method (PIM) or index methods to construct capital stocks, but they vary in asset splits, depreciation choices, and handling of human capital, producing sensitivity. Causal studies rely on difference-in-differences and IV designs exploiting eligibility cutoffs or formula-based shares; however, staggered treatment timing, weak instruments, and measurement error in fund timing (commitments vs disbursements) are recurring weaknesses. Spatial analyses document spillovers but often ignore endogeneity of spatial instruments or mis-specify connectivity matrices. Monte Carlo validation and pre-specified robustness grids are underused, and data reproducibility (versioned pipelines, provenance) is limited. Open gaps include combined PIM-based TFP panels at NUTS2 resolution with fund-disaggregated annualized flows, staggered-IV estimators robust to heterogeneous timing, explicit spatial-IV exclusion tests, and calibrated simulation studies of estimator performance.</w:t>
      </w:r>
    </w:p>
    <w:p>
      <w:r>
        <w:t xml:space="preserve"> </w:t>
      </w:r>
    </w:p>
    <w:p>
      <w:pPr>
        <w:pStyle w:val="Heading2"/>
      </w:pPr>
      <w:r>
        <w:t>Abstract</w:t>
      </w:r>
    </w:p>
    <w:p>
      <w:r>
        <w:t>We study whether European Structural and Investment Funds (ESIFs) causally affected regional total factor productivity (TFP) growth across 262 NUTS2 regions from 2000–2019. Our approach builds a transparent, reproducible PIM-based capital stock panel that accounts for heterogeneous region-sector asset mixes, human-capital adjusted labour inputs, and a bounded sensitivity grid for depreciation and deflators. We harmonize fund data into annualized, fund-disaggregated disbursements aligned to absorption years. Identification exploits policy-derived instruments (eligibility cutoffs, lagged formula shares, national co-financing shocks, and spatially lagged predetermined eligibility) combined with staggered-treatment estimators and spatial econometric models. We evaluate estimators via Monte Carlo simulations calibrated to observed spatial weights and panel structure, and run pre-registered falsification and balance tests. The main contribution is an integrated, validated pipeline linking improved TFP measurement with spatially explicit causal inference of heterogeneous ESIF effects over time and space. Expected outcomes are robust effect estimates by fund, period, and region type, plus open reproducible data and code for policy interpretation.</w:t>
      </w:r>
    </w:p>
    <w:p>
      <w:r>
        <w:t xml:space="preserve"> </w:t>
      </w:r>
    </w:p>
    <w:p>
      <w:pPr>
        <w:pStyle w:val="Heading2"/>
      </w:pPr>
      <w:r>
        <w:t>Methodology</w:t>
      </w:r>
    </w:p>
    <w:p>
      <w:r>
        <w:t xml:space="preserve">1) Data harmonization: ingest REGIO commitment/disbursement records, Eurostat regional accounts (value added, employment, investment), national co-financing records, and spatial data (NUTS2 geometries, commuting). Handle NUTS vintage changes with area/population weighting.  </w:t>
        <w:br/>
        <w:br/>
        <w:t xml:space="preserve">2) PIM capital construction: use the perpetual inventory method (PIM), which builds capital stock by accumulating past real investment flows and subtracting depreciation each year. Specify asset-by-sector splits (infrastructure, buildings, machinery, intangibles), region- and sector-specific baseline depreciation rates, and initial capital stocks. Produce a bounded sensitivity grid (depreciation ±20%, three deflator choices, human-capital adjustment on/off). Output machine-readable PIM config files and provenance metadata.  </w:t>
        <w:br/>
        <w:br/>
        <w:t xml:space="preserve">3) Human capital and labour: adjust labour input quality where regional education and labor-quality indicators exist; when unavailable, record flag and produce alternative unadjusted TFP.  </w:t>
        <w:br/>
        <w:br/>
        <w:t xml:space="preserve">4) TFP measures: compute Solow-residual TFP (output minus weighted factor inputs) and an index-based TFP for comparison. Provide both series.  </w:t>
        <w:br/>
        <w:br/>
        <w:t xml:space="preserve">5) Fund exposure panel: construct annualized, fund-disaggregated (ERDF, ESF, Cohesion Fund, EAFRD) disbursement series aligned to absorption years, not commitments; document smoothing heuristics for administrative timing lags.  </w:t>
        <w:br/>
        <w:br/>
        <w:t xml:space="preserve">6) Spatial artifacts: build canonical spatial weight matrices (queen contiguity, inverse-distance with 200 km cutoff, economic connectivity from commuting data); store as edge lists with metadata.  </w:t>
        <w:br/>
        <w:br/>
        <w:t xml:space="preserve">7) Identification &amp; estimators: lock instrument set (pre-program eligibility cutoffs, lagged formula shares, performance-reserve timing, national co-financing shocks, W_pre×eligibility). Pre-register primary estimators: Callaway &amp; Sant’Anna and Sun &amp; Abraham staggered DiD for average treatment effects with heterogeneous timing; IV-FE using policy instruments; dynamic Spatial Durbin Model (SDM) with distributed lags (0–3 years) to capture spillovers; system-GMM or bias-corrected estimators for lagged dependent variables. Explain: staggered DiD estimators adjust for variation in treatment start times; SDM models both direct and neighbor effects.  </w:t>
        <w:br/>
        <w:br/>
        <w:t xml:space="preserve">8) Measurement-error corrections: implement SIMEX (simulation extrapolation) for classical error and validation-IV where independent administrative disbursement records exist; include bounded estimates across non-classical error scenarios.  </w:t>
        <w:br/>
        <w:br/>
        <w:t xml:space="preserve">9) Falsification and diagnostics: pre-register balance tests, lead-coefficient (pre-trend) event studies, placebo discontinuities at borderline regions, first-stage strength (F≥10), Anderson–Rubin and LIML when weak. For spatial IVs, pre-register negative controls such as outcomes unaffected by funds (e.g., pre-specified sectoral variables) and restricted-sample tests excluding immediate neighbors.  </w:t>
        <w:br/>
        <w:br/>
        <w:t xml:space="preserve">10) Monte Carlo calibration: design DGPs with serial correlation, staggered timing, spatial spillovers, weak IVs and measurement error; evaluate bias, RMSE, and CI coverage.  </w:t>
        <w:br/>
        <w:br/>
        <w:t>11) Reproducibility: implement pipeline with version control, containerization, JSON‑LD metadata, and publish pilot datasets and code.</w:t>
      </w:r>
    </w:p>
    <w:p>
      <w:r>
        <w:t xml:space="preserve"> </w:t>
      </w:r>
    </w:p>
    <w:p>
      <w:pPr>
        <w:pStyle w:val="Heading2"/>
      </w:pPr>
      <w:r>
        <w:t>Experiments</w:t>
      </w:r>
    </w:p>
    <w:p>
      <w:r>
        <w:t xml:space="preserve">Datasets: 1) REGIO commitment and disbursement records (ERDF, ESF, Cohesion Fund, EAFRD) 2000–2019; 2) Eurostat regional accounts (NUTS2) for value added, employment, investment; 3) national budget/co-financing records; 4) NUTS2 geometries and commuting data for spatial matrices; 5) regional education and labour-quality indicators. Pilot: stratified 10 NUTS2 regions (by development club, coastal/inland, agricultural intensity, absorptive capacity).  </w:t>
        <w:br/>
        <w:br/>
        <w:t xml:space="preserve">Baselines: A) OLS with region and year fixed effects; B) staggered DiD (Callaway &amp; Sant’Anna and Sun &amp; Abraham implementations); C) IV-FE using locked instrument set; D) dynamic Spatial Durbin Model (SDM) with distributed lags 0–3; E) system-GMM for dynamic panels.  </w:t>
        <w:br/>
        <w:br/>
        <w:t xml:space="preserve">Evaluation metrics: point estimates and 95% CI for fund effects on annual TFP growth; first-stage F-statistics and partial R2; bias, root mean squared error (RMSE), and coverage from Monte Carlo; LeSage–Pace decomposition of direct/indirect effects in SDM; minimum detectable effect (MDE) tables.  </w:t>
        <w:br/>
        <w:br/>
        <w:t xml:space="preserve">Experimental setup: panel 262 NUTS2 × years 2000–2019; pre-specified covariates: log capital stock, log labour, regional time trends, sector shares, national-year shocks. Lag windows: distributed lags 0–3 years for fund flows. Clustering/inference: baseline two-way clustering (region×year), with Conley spatial HAC and spatial block bootstrap robustness.  </w:t>
        <w:br/>
        <w:br/>
        <w:t xml:space="preserve">Ablations: (1) replace PIM capital with naive cumulative investment (test measurement impact); (2) drop spatial controls/W matrices; (3) omit measurement-error correction (SIMEX); (4) restrict sample to non-border regions to test spatial-IV validity.  </w:t>
        <w:br/>
        <w:br/>
        <w:t>Monte Carlo experiments: simulate panels matching observed SD and W; scenarios include weak IVs (F&lt;10), classical/non-classical measurement error, mis-specified W, serial correlation and heterogeneous treatment effects. Report estimator comparison tables (bias, RMSE, coverage) and recommend primary estimator based on results.</w:t>
      </w:r>
    </w:p>
    <w:p>
      <w:r>
        <w:t xml:space="preserve"> </w:t>
      </w:r>
    </w:p>
    <w:p>
      <w:pPr>
        <w:pStyle w:val="Heading2"/>
      </w:pPr>
      <w:r>
        <w:t>Risk Factors And Limitations</w:t>
      </w:r>
    </w:p>
    <w:p>
      <w:r>
        <w:t xml:space="preserve">1) Data availability and licensing: REGIO disbursement microdata and some national administrative records may be restricted; reproducibility may require synthetic or partial public derivatives.  </w:t>
        <w:br/>
        <w:t xml:space="preserve">2) Measurement error: non-classical errors (mis-timed disbursements, misclassification of fund type) can bias IV and OLS estimates; SIMEX and validation-IV may be limited by available validation data.  </w:t>
        <w:br/>
        <w:t xml:space="preserve">3) Weak instruments: policy instruments may be weak for some funds or periods, reducing identification power and producing wide CIs.  </w:t>
        <w:br/>
        <w:t xml:space="preserve">4) Staggered-treatment bias: heterogeneous effects over time can bias naive DiD estimators; primary estimators may still suffer in small samples.  </w:t>
        <w:br/>
        <w:t xml:space="preserve">5) Spatial misspecification: wrong W matrix choice can misattribute spillovers and invalidate spatial-IV exclusion restrictions.  </w:t>
        <w:br/>
        <w:t xml:space="preserve">6) Dynamic panel bias: using lagged dependent variables with fixed effects may induce Nickell bias in short T panels; system-GMM requires strong moment conditions.  </w:t>
        <w:br/>
        <w:t xml:space="preserve">7) Pilot representativeness: a small pilot risks not capturing full heterogeneity; scaling increases data harmonization complexity.  </w:t>
        <w:br/>
        <w:t xml:space="preserve">8) Computational cost: large Monte Carlo suites and spatial ML estimations are computationally intensive.  </w:t>
        <w:br/>
        <w:t xml:space="preserve">9) External validity: results apply to EU NUTS2 regions 2000–2019 and may not generalize beyond this setting.  </w:t>
        <w:br/>
        <w:t>10) Causal exclusions: exclusion restrictions for instruments (especially spatially lagged ones) may fail if neighboring policies directly affect local TFP, limiting causal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