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capacitated_reliable_relax_and_fix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Relax-and-fix heuristic and mathematical formulations for capacitated reliable fixed-charge facility location problems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relax-and-fix heuristic that orders facilities by the score (f_i/cap_i)/(1−p_i) and solves deterministic-equivalent scenario subproblems produces solutions whose expected total cost is within 5% of the full deterministic-equivalent MILP optimum while reducing wall-clock solution time by at least 50% on medium and large instance classes.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reliable facility location combines stochastic models of facility failures with fixed-charge and capacity constraints. Common approaches use deterministic-equivalent mixed-integer programs (DE‑MILP), sample average approximation (SAA), Benders or L-shaped decompositions, greedy opening heuristics, and relax-and-fix or large-neighborhood search heuristics. Limitations remain: (1) DE‑MILPs scale poorly with scenario count and facilities, creating memory and runtime bottlenecks; (2) naive big‑M encodings loosen LP relaxations and slow solvers; (3) compact expected-value approximations (replacing scenarios with marginal survival probabilities) can introduce uncontrolled bias under correlated or high-failure regimes; (4) many heuristics lack reproducible tuning schedules, principled block partitioning, and statistical validation against tight baselines (integer L-shaped, Benders, full DE); (5) tail-risk estimation (CVaR) is often under-sampled or lacks variance-reduction via importance sampling. These gaps motivate tighter linearizations, analytic Big‑M bounds, formal diagnostics for compact approximations, and a carefully tuned relax-and-fix pipeline.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a capacitated reliable fixed-charge facility location problem where facilities have site-dependent failure probabilities and can receive optional capacity expansions after disruptions. We present both a non-linear expected-value formulation and an exact deterministic-equivalent MILP (DE‑MILP) over failure scenarios, and derive a disaggregated/perspective linearization that tightens LP relaxations. To scale to realistic sizes, we design a relax-and-fix (R&amp;F) heuristic that partitions facilities into ordered blocks using the score (fixed cost per capacity adjusted by survival probability), solves scenario subproblems with warm-starts and lazy cut generation, and applies local branching and large-neighborhood search polishing. We provide analytic per-constraint Big‑M bounds, Monte Carlo and covariance diagnostics to accept or reject the compact expectation approximation, and an importance-sampling scheme for CVaR estimation. Expected outcomes: near-optimal solutions with substantially reduced runtime compared to full DE‑MILP, reproducible tuning guidance, and validated error bounds for approximation choices. The approach targets computational tractability and robust risk-aware design under disruption scenarios.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1. Model construction</w:t>
        <w:br/>
        <w:t xml:space="preserve">- Define indices: facilities i and customers j; parameters: fixed open cost f_i, capacity cap_i, optional expansion rcap_i with cost fexp_i and variable cost vexp_i, travel cost c_ij, customer demand d_j, facility failure prob p_i.  </w:t>
        <w:br/>
        <w:t xml:space="preserve">- Non-linear compact model: write expected-value terms using E[a_i]=1−p_i multiplied by flow variables q_ij. Note this is an approximation.  </w:t>
        <w:br/>
        <w:t>- Deterministic-equivalent MILP (DE‑MILP): enumerate chosen scenario set S (binary availability a_i^s), introduce scenario flows q_ij^s and expansion decisions y_i^s, objective is first-stage fixed costs plus scenario-weighted recourse costs ∑_s π_s(...). This is exact for S.</w:t>
        <w:br/>
        <w:br/>
        <w:t>2. Linearization and tightening</w:t>
        <w:br/>
        <w:t xml:space="preserve">- Use disaggregation/perspective strengthening: enforce q_ij^s ≤ d_j x_i and ∑_j q_ij^s ≤ cap_i x_i + rcap_i y_i^s. These reduce fractional LP solutions by coupling flows to opening variables.  </w:t>
        <w:br/>
        <w:t>- Compute analytic per-constraint Big‑M bounds from data, e.g., M_i^s = min(cap_i+rcap_i, ∑_j d_j, ∑_j d_j^s), and per-arc M_ij^s = min(d_j, cap_i+rcap_i). Use these instead of loose global M.</w:t>
        <w:br/>
        <w:br/>
        <w:t>3. Scenario design and sampling</w:t>
        <w:br/>
        <w:t xml:space="preserve">- Baseline scenario model: independent Bernoulli failures with π_s = ∏_i (1−p_i)^{a_i^s} p_i^{1−a_i^s}.  </w:t>
        <w:br/>
        <w:t xml:space="preserve">- Stress models: common-shock (region shock variables) and Gaussian-copula latent-factor sampling to induce correlation.  </w:t>
        <w:br/>
        <w:t>- For large problems use SAA: inner Ns_inner scenarios (500–2,000) inside MILP; validation draws N_out (2,000–5,000).</w:t>
        <w:br/>
        <w:br/>
        <w:t>4. Relax-and-fix (R&amp;F) heuristic pipeline</w:t>
        <w:br/>
        <w:t xml:space="preserve">- Score and partition: compute S_i = (f_i / cap_i) / (1−p_i). Sort facilities and partition into k blocks (default block size 10% of |I|).  </w:t>
        <w:br/>
        <w:t xml:space="preserve">- R&amp;F schedule: forward progressive pass that progressively frees blocks B1..Bt; optional single backward pass; at each step solve the DE‑MILP restricted so x_i are free only for facilities in current block(s) and fixed to incumbent elsewhere.  </w:t>
        <w:br/>
        <w:t xml:space="preserve">- Subproblem solving: use MIPStart warm-starts, per-subproblem time limits, lazy callback to add at most K violated flow-cover/knapsack cuts, and reuse incumbent solutions across subproblems.  </w:t>
        <w:br/>
        <w:t>- Local improvement: apply local branching on recent block (Hamming radius R∈{1,2,5}), greedy swaps, then LNS that unfix 5–10 facilities and reoptimize. Finish with a full-model polishing run seeded by best incumbent.</w:t>
        <w:br/>
        <w:br/>
        <w:t>5. Diagnostics and acceptance rules</w:t>
        <w:br/>
        <w:t xml:space="preserve">- Compact-approximation bias check: solve compact model, draw R=2,000 joint samples, compute true expected recourse C_true and compact estimate C_compact; accept compact if relative bias ≤ δ (default δ=0.02).  </w:t>
        <w:br/>
        <w:t xml:space="preserve">- Fast covariance check: pilot R0=500 samples to estimate Cov(a_i,q_ij) and flag large covariance that invalidates expectation factorization.  </w:t>
        <w:br/>
        <w:br/>
        <w:t>6. Importance sampling for tail metrics</w:t>
        <w:br/>
        <w:t>- Construct cheap surrogate loss L̂(s) (deterministic shortfall) and form proposal Q(s) ∝ L̂(s) π_s. Sample scenarios s~Q and weight by w(s)=π_s/Q(s) to compute unbiased weighted estimates of expectation and CVaR.</w:t>
        <w:br/>
        <w:br/>
        <w:t>7. Implementation notes</w:t>
        <w:br/>
        <w:t>- Provide Pyomo model of DE‑MILP and R&amp;F driver, per-constraint bound calculators, scenario sampler, and a Docker image with pinned solver versions (Gurobi/CPLEX). Record RNG seeds and logs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1. Instance sets</w:t>
        <w:br/>
        <w:t xml:space="preserve">- Small: |I|=10–20 facilities, |J|=20–50 customers, 5 replicates per cell.  </w:t>
        <w:br/>
        <w:t xml:space="preserve">- Medium: |I|=50–100, |J|=100–500, 10 replicates per cell.  </w:t>
        <w:br/>
        <w:t xml:space="preserve">- Large: |I|=200–500, |J|=500–2000, 5 replicates per cell.  </w:t>
        <w:br/>
        <w:t xml:space="preserve">- Parameter grid: capacity tightness sum(cap)/sum(d) ∈ {0.8,1.0,1.2}, expansion ratio rcap_i/cap_i ∈ {0.1,0.25,0.5}, p_i drawn from Beta with mean {0.01,0.05,0.15}.  </w:t>
        <w:br/>
        <w:br/>
        <w:t>2. Scenario sets and sampling</w:t>
        <w:br/>
        <w:t>- For each instance build three scenario families: S_single (no-failure + single-facility failures, normalized), limited k-failure (k=2,3) enumeration for medium, and Monte-Carlo multisample (Ns_inner = 500–2000 for in-MILP). Validate all solutions out-of-sample with N_out = 2,000–5,000 draws. Use common-shock and Gaussian-copula stress tests for selected instances.</w:t>
        <w:br/>
        <w:br/>
        <w:t>3. Baselines</w:t>
        <w:br/>
        <w:t xml:space="preserve">- Full deterministic-equivalent MILP solved to optimality or best gap within budget.  </w:t>
        <w:br/>
        <w:t xml:space="preserve">- Greedy opening heuristic (cost-capacity ratio).  </w:t>
        <w:br/>
        <w:t xml:space="preserve">- Integer L-shaped decomposition (branch-and-cut Benders variant).  </w:t>
        <w:br/>
        <w:t xml:space="preserve">- Benders (continuous relaxation master) and commercial indicator-constraint encoding with tightened Big‑M.  </w:t>
        <w:br/>
        <w:t>- Compact expected-value approximation (E[a_i]·q) when allowed by diagnostics.</w:t>
        <w:br/>
        <w:br/>
        <w:t>4. Solver and budgets</w:t>
        <w:br/>
        <w:t xml:space="preserve">- Solvers: Gurobi 9+/10+ and CPLEX 12.10+.  </w:t>
        <w:br/>
        <w:t>- CPU budget per full-run: medium/large experiments: 3600 seconds per algorithm instance; per-subproblem R&amp;F budgets scaled as small 30–60s, medium 60–300s, large 300–1200s. Fix RNG seeds, threads, and solver random seeds for reproducibility.</w:t>
        <w:br/>
        <w:br/>
        <w:t>5. Metrics</w:t>
        <w:br/>
        <w:t>- Expected total cost (first-stage + expected recourse), expected unmet demand (penalty), CVaR0.95 of cost and unmet demand, service probability P(all demand met), integrality gap, wall-clock runtime, time-to-best, and memory. Report mean, SD, median, IQR and 95% bootstrap CI over replicates.</w:t>
        <w:br/>
        <w:br/>
        <w:t>6. Experimental design</w:t>
        <w:br/>
        <w:t xml:space="preserve">- For algorithm comparisons use paired tests over the same instances. Primary comparison: R&amp;F vs full DE‑MILP and integer L-shaped on medium and large classes with 30 paired instances when feasible.  </w:t>
        <w:br/>
        <w:br/>
        <w:t>7. Ablation and sensitivity studies</w:t>
        <w:br/>
        <w:t xml:space="preserve">- Ablate block size {5%,10%,15% of |I|}, block ordering score variants (S_i vs f_i/cap_i vs LP reduced cost), presence/absence of backward pass, local branching radius R∈{1,2,5}, and K cuts per callback {3,5}.  </w:t>
        <w:br/>
        <w:t xml:space="preserve">- Validate compact approximation acceptance rule by comparing compact solutions to DE solutions and reporting relative bias and CI.  </w:t>
        <w:br/>
        <w:t>- Evaluate importance sampling: compare CVaR variance and effective sample size vs naive Monte Carlo using fixed budgets (N=2000).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 xml:space="preserve">1. Scalability: DE‑MILP memory and time grow with |S|·|I|·|J|; very large instances may be infeasible without scenario reduction or switching to compact approximations that can be biased.  </w:t>
        <w:br/>
        <w:t xml:space="preserve">2. Approximation bias: the compact expected-value model can produce significant bias when p_i are large, failures are correlated, or expansions are important; diagnostics may misclassify borderline cases.  </w:t>
        <w:br/>
        <w:t xml:space="preserve">3. Correlation modeling: Gaussian-copula and common-shock models approximate real dependencies and may misrepresent spatial/temporal fragility, producing over- or under-estimated risk.  </w:t>
        <w:br/>
        <w:t xml:space="preserve">4. Heuristic absence of optimality guarantees: R&amp;F is heuristic and may get trapped in local minima; worst-case quality guarantees are not available.  </w:t>
        <w:br/>
        <w:t xml:space="preserve">5. Solver dependence: performance depends on commercial solver features (MIPStart, lazy cuts, heuristics) and versions; reproducibility requires matching solver versions and options.  </w:t>
        <w:br/>
        <w:t xml:space="preserve">6. Importance sampling instability: poor surrogate L̂(s) or extreme likelihood ratios can increase estimator variance or cause numerical instability.  </w:t>
        <w:br/>
        <w:t xml:space="preserve">7. Data bias: synthetic instance parameters or assumed p_i distributions may not capture real-world heterogeneity, limiting external validity.  </w:t>
        <w:br/>
        <w:t xml:space="preserve">8. Computational cost of validation: robust out-of-sample validation (N_out≥2000) is itself expensive and may limit the number of instances evaluated.  </w:t>
        <w:br/>
        <w:t>9. Modeling edge cases: partial or fractional availability (partial uptime) and simultaneous partial failures require model adjustments; current binary-availability formulations may not capture partial-capacity scenarios.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