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true_pricing_point_of_sale</w:t>
      </w:r>
    </w:p>
    <w:p>
      <w:r>
        <w:t xml:space="preserve"> </w:t>
      </w:r>
    </w:p>
    <w:p>
      <w:pPr>
        <w:pStyle w:val="Heading2"/>
      </w:pPr>
      <w:r>
        <w:t>Title</w:t>
      </w:r>
    </w:p>
    <w:p>
      <w:r>
        <w:t>Randomized survey-experiment testing how absolute versus relative true-price presentation formats affect consumer purchase decisions for high-externality food products</w:t>
      </w:r>
    </w:p>
    <w:p>
      <w:r>
        <w:t xml:space="preserve"> </w:t>
      </w:r>
    </w:p>
    <w:p>
      <w:pPr>
        <w:pStyle w:val="Heading2"/>
      </w:pPr>
      <w:r>
        <w:t>Short Hypothesis</w:t>
      </w:r>
    </w:p>
    <w:p>
      <w:r>
        <w:t>Displaying an absolute true-price surcharge in euros on a product listing causally reduces the probability of purchasing a high-externality food item compared to showing only the standard price.</w:t>
      </w:r>
    </w:p>
    <w:p>
      <w:r>
        <w:t xml:space="preserve"> </w:t>
      </w:r>
    </w:p>
    <w:p>
      <w:pPr>
        <w:pStyle w:val="Heading2"/>
      </w:pPr>
      <w:r>
        <w:t>Related Work</w:t>
      </w:r>
    </w:p>
    <w:p>
      <w:r>
        <w:t>Prior work compares informational nudges that present environmental or health impacts in different forms: monetary surcharges, percentage adjustments, and label badges or traffic-light icons. Studies show that monetary presentations can make externalities more concrete and sometimes shift choices, while percentage or relative formats can be harder to interpret. Sustainability labels improve information but vary in effectiveness across populations and product types. Limitations in existing approaches include inconsistent aggregation of multi-dimensional impacts into single metrics, poor handling of uncertainty, limited cross-country evidence, weak attention and mediator measurement, and few studies that use consequential (real) incentives. Many prior studies report heterogeneous effects and lack pre-specified weak-instrument plans for analyses that rely on compliance or enacted purchases.</w:t>
      </w:r>
    </w:p>
    <w:p>
      <w:r>
        <w:t xml:space="preserve"> </w:t>
      </w:r>
    </w:p>
    <w:p>
      <w:pPr>
        <w:pStyle w:val="Heading2"/>
      </w:pPr>
      <w:r>
        <w:t>Abstract</w:t>
      </w:r>
    </w:p>
    <w:p>
      <w:r>
        <w:t>This study tests how to present true prices — retail prices that include monetized external costs — at the point of sale to influence consumer choices. We run a preregistered, randomized survey experiment with national samples in the Netherlands and Denmark to compare three formats: control (price only), absolute surcharge in euros, and relative surcharge (percent plus euros). We measure a single primary outcome (binary purchase decision for a high-externality food item), objective attention and comprehension, perceived fairness and trust, and downstream substitution and WTP. The design includes a modest participation payment and a pre-specified 15% binding enactment draw to generate consequential behavior for a subset. Analysis uses intent-to-treat linear probability models, mediation analysis to test mechanisms, and two-stage least squares for local average treatment effects when using enacted compliance as an instrument. The main contribution is actionable evidence on presentation formats, mediator pathways, and robustness under monetization uncertainty, supporting policy and retailer decisions about true-price labeling.</w:t>
      </w:r>
    </w:p>
    <w:p>
      <w:r>
        <w:t xml:space="preserve"> </w:t>
      </w:r>
    </w:p>
    <w:p>
      <w:pPr>
        <w:pStyle w:val="Heading2"/>
      </w:pPr>
      <w:r>
        <w:t>Methodology</w:t>
      </w:r>
    </w:p>
    <w:p>
      <w:r>
        <w:t>Sampling and assignment: Recruit N=1,600 adults (800 Netherlands, 800 Denmark) from national panels with quotas on age, gender, education, region, and primary grocery-shopper status. Randomize server-side in blocks by country and primary-shopper status. Arms: Control (price only), Absolute True Price (total price plus separate euro surcharge), Relative Surcharge (percent and euro shown). Secondary orthogonal splits: surcharge format within surcharge arm (percent-first vs euro-first) and credibility cue (data-source line + QR vs none).</w:t>
        <w:br/>
        <w:t>Monetization rule: Pre-register a central monetization scenario using a social cost of carbon (SCC) of 100 EUR/tCO2e for the consumer-facing surcharge; two sensitivity scenarios use 50 and 200 EUR/tCO2e. Aggregate multi-dimensional damages (GHG, air pollution, water, eutrophication, biodiversity, packaging) into one euro surcharge using additive monetization of each impact category after harmonizing units; document aggregation algorithm and steps to avoid double-counting (e.g., shared pathways removed by impact mapping).</w:t>
        <w:br/>
        <w:t>Timing and measures: Present label treatment, then measure mediators immediately before the purchase decision. Mediators: attention (time-on-price, viewport/click logs, forced recall), perceived fairness (3 items, Likert), trust in label/retailer (3 items, Likert), price comprehension (objective calculation question), perceived environmental impact (1 item). Primary outcome: binary buy vs not buy for a target high-externality SKU. Secondary outcomes: continuous WTP, basket substitution, recall, and subjective attitudes.</w:t>
        <w:br/>
        <w:t>Incentives: All participants get a small guaranteed payment. A pre-specified 15% server-side random draw enacts one binding purchase for selected respondents; fulfillment via redeemable voucher or cash-equivalent logged by vendor. Define compliance variables (e.g., redemption logged, correct surcharge recall, viewport &gt; threshold).</w:t>
        <w:br/>
        <w:t>Analysis plan: Primary analysis = intent-to-treat (ITT) linear probability model (LPM) with HC2 robust standard errors, adjusted for pre-specified covariates (age, gender, education, household income, primary-shopper) and block indicators; report logistic regression as robustness. Use post-stratification weights as main inference and show unweighted checks. Mediation: causal mediation analysis using the Imai framework (estimates of ACME and ATE) with bootstrap CIs and sensitivity scans over mediator–outcome confounding parameter rho. LATE: estimate 2SLS using assignment as instrument for confirmed compliance; pre-specify first-stage models and covariates. If first-stage F&lt;10, pre-specify weak-instrument robust methods (LIML, Fuller, Anderson–Rubin confidence sets) and report bounds. Multiple testing: gatekeeping to protect the primary contrast (absolute vs control) at alpha=0.05; within secondary families apply Benjamini–Hochberg FDR correction. Missing data: multiple imputation (m=20) with predictive mean matching; present complete-case robustness.</w:t>
      </w:r>
    </w:p>
    <w:p>
      <w:r>
        <w:t xml:space="preserve"> </w:t>
      </w:r>
    </w:p>
    <w:p>
      <w:pPr>
        <w:pStyle w:val="Heading2"/>
      </w:pPr>
      <w:r>
        <w:t>Experiments</w:t>
      </w:r>
    </w:p>
    <w:p>
      <w:r>
        <w:t>Population and datasets: National online panel samples: N=1,600 total (800 NL, 800 DK). Pilot samples: cognitive interviews 8–12 per country and pilot N=100 per country including eye/mouse subsample n=30.</w:t>
        <w:br/>
        <w:t>Randomized arms and splits: Primary randomization into 3 arms: Control, Absolute, Relative. Within surcharge arm, randomize surcharge-format (percent-first vs euro-first). Independently randomize credibility cue (source + QR vs none) across all arms.</w:t>
        <w:br/>
        <w:t>Stimuli: For each respondent present one high-externality food SKU in a realistic product page with pricing and label variants. If multiple tasks per respondent are used, pre-register number of tasks and treat repeated measures with clustered SEs or panel FE.</w:t>
        <w:br/>
        <w:t>Baselines and ablations: Baselines include control (price-only) and absolute vs relative comparisons. Ablation studies: (A) remove QR/credibility cue to test cue effect; (B) compare percent-only vs euro-only vs both to test format clarity; (C) vary biodiversity valuation method in monetization pipeline (WTP-based vs restoration-cost vs species-loss shadow price) and compare resulting behavioral effects.</w:t>
        <w:br/>
        <w:t>Evaluation metrics: Primary metric = binary purchase decision (buy vs not buy). Secondary metrics = WTP (continuous), time-on-price (seconds), correct surcharge recall (binary), perceived fairness score (mean of 3 Likert items), trust score (mean of 3 Likert items), basket substitution count. Report means, differences in proportions, and effect sizes in percentage points.</w:t>
        <w:br/>
        <w:t>Estimation and inference: Primary estimator = LPM with HC2 SEs, covariate adjustment, and post-stratification weights. Report logistic regression and mixed logit for multi-attribute choice tasks. Mediation analysis using Imai methods with bootstrap CIs. LATE estimation via 2SLS with assignment as instrument; report first-stage coefficient, F-stat, compliance rate, and 2SLS estimate with Anderson–Rubin CIs if weak instrument detected. Cluster SEs at respondent level. Multiple testing: gatekeeping for primary contrast then BH-FDR for secondary families.</w:t>
        <w:br/>
        <w:t>Sample-size and power: N=1,600 yields ≈533 per primary arm pooled. Reported minimal detectable effect (MDE) for Absolute vs Control ≈4.2 percentage points at 80% power assuming baseline 50%; include MDE tables across baseline rates 20–80% and powers 80/90% in supplement.</w:t>
        <w:br/>
        <w:t>Pre-registered robustness checks: alternative compliance definitions (redemption, recall+viewport threshold, click-to-enact), alternative mediator codings, imputation vs complete-case, and exclusion thresholds for speeders and duplicate IPs. Provide one comparison showing how varying compliance definition alters first-stage F and resulting LATE precision.</w:t>
      </w:r>
    </w:p>
    <w:p>
      <w:r>
        <w:t xml:space="preserve"> </w:t>
      </w:r>
    </w:p>
    <w:p>
      <w:pPr>
        <w:pStyle w:val="Heading2"/>
      </w:pPr>
      <w:r>
        <w:t>Risk Factors And Limitations</w:t>
      </w:r>
    </w:p>
    <w:p>
      <w:r>
        <w:t>Monetization aggregation risk: combining heterogeneous impacts into a single euro surcharge can double-count or obscure drivers of damage; different biodiversity valuation methods yield divergent surcharges. Licensing limits: key LCA inventories (e.g., ecoinvent) are license-restricted and cannot be redistributed, limiting direct reproducibility of raw inputs. Weak instrument risk: the 15% binding draw may produce low compliance or weak first-stage relationships (F&lt;10), reducing precision of 2SLS LATE estimates. Attention and measurement error: mediators measured post-treatment may be noisy or influenced by measurement itself. External validity: online survey tasks and a selected SKU may not generalize to in-store behavior or other product categories. Dependence across tasks: if respondents face multiple choice tasks, within-respondent correlation can reduce effective sample size and bias naive SEs. Legal and regulatory constraints: country-specific price-display and competition rules may restrict label wording or implementation. Sample bias: panel recruitment and quotas may not fully match the broader shopper population, affecting transferability. Computational limits: detailed monetization pipelines with spatialized indicators can be compute-intensive and license-dependent, limiting rapid re-running for many SKUs.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