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markup_product_diff_airlines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markup-decomposition framework integrating product differentiation to assess drivers of airline profitability in the U.S. industry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Improvements in observable product-differentiation attributes (e.g., premium-seat share, frequency, ancillary offerings) cause increases in airline absolute markups (price minus marginal cost) after controlling for cost shocks and demand variation.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empirical work measures markups using price-frontier methods or structural price-minus-cost estimates and evaluates productivity using frontier techniques (parametric SFA and nonparametric DEA). Demand is commonly modeled with discrete-choice (logit/mixed-logit) to recover willingness-to-pay (WTP) for attributes. Limitations: prior approaches rarely integrate product attributes directly into markup decompositions, often use distance-to-frontier as an imperfect proxy for markups without marginal-cost estimates, and understate uncertainty by not propagating demand estimation error into frontier and decomposition inference. Endogeneity of product attributes and price is often handled weakly or with ad-hoc instruments. Many studies report point estimates without joint bootstrap+imputation inference or systematic sensitivity to cost-allocation rules and instrument validity.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paper introduces a practical empirical framework that decomposes airline markup changes while explicitly incorporating product differentiation as an economic driver. We combine discrete-choice demand estimates for attribute willingness-to-pay with route-cabin marginal-cost construction and flexible revenue frontier estimation. The method builds on a Lovell-style decomposition to allocate annual markup (price minus marginal cost) variation to attribute-driven WTP changes, frontier shifts, and residuals. Identification relies on pre-specified, testable instruments (fuel shocks, slot/runway events, aircraft deliveries, competitor schedule shocks) and a nested bootstrap that embeds multiple imputation to propagate demand and data uncertainty into frontier and decomposition confidence intervals. Primary estimators are mixed-logit demand, translog stochastic frontier analysis (SFA) for the revenue frontier, and structural marginal-cost mapping from Form 41/T-100. The contribution is a reproducible pipeline that yields economically interpretable markup decomposition with quantified uncertainty and sensitivity to cost-allocation and instrument choices, enabling credible counterfactuals about product rollouts and pricing strategies.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merge route-level datasets (ticket fares and itineraries, T-100/Form 41 operational data, schedule data, aircraft configs, carrier financials). Construct Z attributes per route-year (frequency, connectivity, premium-seat share, seat-pitch proxies, ancillaries per pax, fare-family complexity, loyalty proxies, schedule convenience, basic-economy flag, OTP, output shares). 2) Marginal-cost construction: compute variable flight cost = block-hour unit costs (fuel, maintenance, crew) × route block-hours from aircraft assignments; add cabin-specific incremental costs (catering, premium service). Allocate common network costs by baseline rules (capacity costs by ASM, commercial by revenue share) and produce alternative allocation matrices. 3) Demand estimation: estimate mixed-logit (random-coefficients) on itinerary-level choice data to recover WTP distributions for Z. Treat endogenous Z and price using instruments in a control-function or IV-augmented mixed-logit setup. Export WTP draws and elasticity matrices. (Mixed-logit: a demand model that allows individual-level taste variation via random coefficients; WTP: willingness-to-pay for an attribute.) 4) Frontier estimation: estimate a translog revenue frontier (SFA) of feasible revenue given outputs and Z, separating noise from inefficiency. Also run DEA and semi-parametric SFA for sensitivity. 5) Decomposition: extend Lovell decomposition to decompose annual markup changes into parts attributable to attribute-driven WTP changes, frontier shifts, and residuals. 6) Inference: implement nested bootstrap embedding M multiple imputations per replicate to propagate uncertainty from imputation and demand estimation through frontier and decomposition. Cluster resampling by carrier and market blocks. 7) Instrument diagnostics and pre-registration: for every instrument write causal path, run first-stage F and partial R2, placebo leads, balance tests, overidentification and LIML/Fuller robust checks. 8) Deliverables: point estimates with bootstrap CIs, sensitivity grids (cost allocation, frontier estimator, instrument sets), and counterfactual simulations (product rollouts).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panel: Delta, Southwest, Spirit, years 2005–2015 using DB1B/itinerary, T-100/Form 41, OAG/Diio schedules, carrier 10-Ks, seat-config registries. Full panel: 20 U.S. carriers over two decades (as available). Baselines: (A) full model (mixed-logit demand + marginal-cost price−mc + translog SFA frontier + Lovell decomposition with Z), (B) distance-to-frontier proxy without structural marginal-cost, (C) decomposition omitting Z (no product differentiation), (D) decomposition with uninstrumented Z. Estimators compared: mixed-logit (IV/control-function) vs alternative demand specs; translog SFA vs DEA vs semi-parametric SFA. Evaluation metrics: average absolute markup (mean price−mc), decomposition shares (%) attributable to attributes/frontier/residual, 95% bootstrap confidence intervals coverage, RMSE of predicted route revenues across frontier estimators, first-stage instrument diagnostics (Staiger–Stock F, partial R2), and Hausman/control-function tests for price endogeneity. Experimental setup: nested bootstrap B=1000 replicates with M=20 multiple imputations per replicate; two-way block cluster by carrier and market. Ablation studies: 1) drop product attributes Z to measure bias in markup attribution; 2) use alternative cost-allocation matrices (ASM, RPM, activity-based) to assess sensitivity; 3) compare sequential estimation (demand→frontier) versus joint MPEC on limited subsample (N&lt;500k) and report CI widths and point shifts. Report event-study tests for each instrument: leads (anticipation), lags, and placebo markets. Report results in tables with point estimates, bootstrap percentiles, and diagnostics.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Instrument failure: proposed instruments may fail relevance or exclusion tests; weak or invalid instruments will bias IV estimates. 2) Price endogeneity: simultaneous determination of price and attributes may remain if instruments are inadequate. 3) Marginal-cost measurement error: Form 41/T-100 mapping and cost allocations are imperfect; allocation choices can materially change price−mc. 4) Missing data and MNAR: key Z variables may be missing nonrandomly; MI under MAR may be invalid. 5) Computational limits: nested bootstrap with mixed-logit and frontier estimation is computationally heavy and may prevent joint estimation at full scale. 6) Model misspecification: mixed-logit or SFA functional forms and inefficiency distributions may be misspecified, affecting decomposition. 7) External validity: pilot results from three carriers (2005–2015) may not generalize to all carriers or later periods. 8) Aggregation bias: route-cabin aggregation choices can mask heterogeneity and bias decomposition results. 9) Unobserved confounders: unmeasured demand shocks correlated with Z could bias causal attribution.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