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epistemic_virtue_collective_success</w:t>
      </w:r>
    </w:p>
    <w:p>
      <w:r>
        <w:t xml:space="preserve"> </w:t>
      </w:r>
    </w:p>
    <w:p>
      <w:pPr>
        <w:pStyle w:val="Heading2"/>
      </w:pPr>
      <w:r>
        <w:t>Title</w:t>
      </w:r>
    </w:p>
    <w:p>
      <w:r>
        <w:t>A mixed-methods causal and computational test of whether individual epistemic virtue increases collective reproducibility in science</w:t>
      </w:r>
    </w:p>
    <w:p>
      <w:r>
        <w:t xml:space="preserve"> </w:t>
      </w:r>
    </w:p>
    <w:p>
      <w:pPr>
        <w:pStyle w:val="Heading2"/>
      </w:pPr>
      <w:r>
        <w:t>Short Hypothesis</w:t>
      </w:r>
    </w:p>
    <w:p>
      <w:r>
        <w:t>Higher average individual epistemic virtue among scientists causes higher collective reproducibility outcomes (higher replication success rates, higher preregistration and open-data adoption, and faster correction rates) in scientific communities, controlling for institutional incentive structures.</w:t>
      </w:r>
    </w:p>
    <w:p>
      <w:r>
        <w:t xml:space="preserve"> </w:t>
      </w:r>
    </w:p>
    <w:p>
      <w:pPr>
        <w:pStyle w:val="Heading2"/>
      </w:pPr>
      <w:r>
        <w:t>Related Work</w:t>
      </w:r>
    </w:p>
    <w:p>
      <w:r>
        <w:t>Existing work divides into two camps. Structural accounts argue that institutional incentives, markets, and division of cognitive labor can explain scientific reliability without appealing to individual virtue; empirical meta-research documents how incentives shape behaviors and reports large-scale reproducibility problems. Virtue-epistemology approaches emphasize individual dispositions (honesty, diligence, humility) as explanations but have mostly relied on philosophical argument and cross-sectional associations. Computational work (agent-based models) has simulated norm dynamics and incentives but often suffers from equifinality: multiple parameter combinations reproduce the same macro patterns. Empirical intervention evidence is limited: randomized trials at scale on editorial behavior or mentorship are rare, and longitudinal trait–state separation for epistemic virtues is absent. Prior methods therefore struggle to (1) identify causal virtue effects separate from structure, (2) provide empirically constrained ABM priors, and (3) account for cross-cultural measurement and justice-sensitive heterogeneity.</w:t>
      </w:r>
    </w:p>
    <w:p>
      <w:r>
        <w:t xml:space="preserve"> </w:t>
      </w:r>
    </w:p>
    <w:p>
      <w:pPr>
        <w:pStyle w:val="Heading2"/>
      </w:pPr>
      <w:r>
        <w:t>Abstract</w:t>
      </w:r>
    </w:p>
    <w:p>
      <w:r>
        <w:t>This project tests whether individual epistemic virtues causally contribute to the collective success of science as a social institution. We combine longitudinal psychometric measurement of dispositions, behavioral bibliometric indicators (preregistration, open data, replication authorship, corrections), randomized and quasi-experimental field interventions (editor-level cluster RCTs, encouragement designs, regression-discontinuity and instrumental-variable analyses), and an empirically calibrated agent-based model (ABM). The main contribution is an integrated, testable pipeline: validated virtue measures linked to observed behaviors over time; causal estimates of virtue effects on reproducibility outcomes; and an ABM constrained by bibliometric moments and targeted micro-experiments to resolve equifinality. Expected outcomes are (1) direct causal estimates of how virtue interventions change adoption and reproducibility metrics, (2) validated ABM parameter posteriors that distinguish agent-level virtue effects from structural explanations, and (3) concrete guidance on when individual virtue cultivation matters for policy. Results will inform journals and funders about the relative leverage of virtue-focused versus structural interventions.</w:t>
      </w:r>
    </w:p>
    <w:p>
      <w:r>
        <w:t xml:space="preserve"> </w:t>
      </w:r>
    </w:p>
    <w:p>
      <w:pPr>
        <w:pStyle w:val="Heading2"/>
      </w:pPr>
      <w:r>
        <w:t>Methodology</w:t>
      </w:r>
    </w:p>
    <w:p>
      <w:r>
        <w:t>1) Measurement: Administer a multi-wave survey (baseline, 6, 12, 24 months) combining validated dispositional scales (HEXACO honesty-humility facets, Big Five conscientiousness facets, Epistemic Humility scale, Epistemic Curiosity inventory) plus behavioral anchors: frequency of preregistration (OSF), open-data deposits (Unpaywall/OSF), authored direct replications, initiated corrections/retractions, and editorial/service roles. 'Behavioral anchor' means a concrete action that shows the trait in practice. 2) Trait-state modelling: Fit latent state–trait models with random intercepts and autoregressive components to separate stable trait variance from situational state variance. Latent variables are estimated from repeated scale responses; random intercept captures stable disposition. 3) Causal designs: Run cluster-randomized trials randomizing handling editors or mentorship cohorts (treatment: virtue-training + small incentives; control: status quo); run encouragement designs where full randomization is infeasible; use regression discontinuity on editorial-selection cutoff scores and use administrative rotation as an instrument (IV) for assignment. 4) ABM calibration: Build an ABM with agent types parameterized by virtue-related traits, costs/rewards, detection probabilities, and network influence. Calibrate by matching empirical moments (preregistration rates, replication success, retraction incidence, p-value diagnostics, editorial centrality) using likelihood-free inference (ABC-SMC). Explain ABC-SMC simply: it is a simulation-based method that finds parameter sets whose simulated outputs match observed statistics. 5) Identifiability: Run parameter-recovery tests, Sobol sensitivity indices (a way to measure how much each parameter affects model outputs), and posterior predictive checks. 6) Targeted micro-experiments: short lab tasks to estimate cost-of-rigor and an editor-seeding field pilot to estimate reputation update dynamics; use these as informative priors. 7) Sampling and data sources: link survey respondents to ORCID and bibliometric sources (OpenAlex, Crossref, Unpaywall, OSF, Retraction Watch). 8) Ethics: pre-register protocols, use controlled-access enclaves for sensitive editorial data, and form community advisory board.</w:t>
      </w:r>
    </w:p>
    <w:p>
      <w:r>
        <w:t xml:space="preserve"> </w:t>
      </w:r>
    </w:p>
    <w:p>
      <w:pPr>
        <w:pStyle w:val="Heading2"/>
      </w:pPr>
      <w:r>
        <w:t>Experiments</w:t>
      </w:r>
    </w:p>
    <w:p>
      <w:r>
        <w:t>1) Datasets: OpenAlex/Crossref bibliometrics, Unpaywall/OSF for open-data and preregistration flags, Retraction Watch for corrections/retractions, ManyLabs/replication project datasets for replication outcomes, journal editorial rosters (via MOUs) linked to ORCID, survey panel linked to ORCID. 2) Primary field experiment (cluster RCT): unit = handling editor (cluster). Sample target = 150 editors across multiple journals. Randomize editors to treatment (virtue-training + modest incentives) or control. Track manuscript-level outcomes for 12 months: preregistration rate (binary), open-data deposit rate (binary), time-to-correction (days), and replication-flagged outcomes. Analysis: mixed-effects logistic regression with cluster random effects; report ITT and complier LATE via instrumenting take-up. Power assumptions: ICC in [0.03,0.08]; MDE ≈ 6–10 percentage points for binary adoption outcomes. 3) Quasi-experiments: RD using selection-committee score cutoff for editorial appointment; running-variable = normalized score, estimate local linear RD with bias-corrected CIs and placebo cutoffs. IV: administrative rotation indicator instrumenting editor assignment; require first-stage F&gt;10. 4) ABM experiments: calibrate ABM to empirical moments using ABC-SMC; run counterfactuals varying virtuous_fraction and reward_skew to estimate macro outcomes. 5) Ablation studies: a) ABM without individual-virtue trait (set virtuous_fraction=0) vs full model to quantify attribution to virtue; b) in prediction tasks, ablate dispositional scales and use only behavioral anchors to test predictive validity of scales. 6) Baselines: (i) structural-only models (ABM with virtue fixed at zero), (ii) observational regression models linking dispositional scores to outcomes with covariate adjustment, (iii) incentive-only interventions (e.g., badge adoption campaigns). 7) Evaluation metrics: binary adoption rates (preregistration, open-data), replication success rate (proportion of positive replications), time-to-correction distribution (median days), p-value distribution metrics (left-tail excess), citation-skew (Gini), effect sizes (Cohen's d) for interventions, and ABM posterior predictive error (distance between simulated and observed moments). 8) Experimental setup specifics: pre-register all analysis code and seed RNGs, use Calonico bandwidth selectors for RD, run ABC-SMC with at least 10,000 simulations per sweep, and report parameter-recovery confusion matrices. 9) Deliverables: pre-analysis plan (1 week prior to experiments), power simulation scripts, and reproducible analysis notebooks with Docker containers.</w:t>
      </w:r>
    </w:p>
    <w:p>
      <w:r>
        <w:t xml:space="preserve"> </w:t>
      </w:r>
    </w:p>
    <w:p>
      <w:pPr>
        <w:pStyle w:val="Heading2"/>
      </w:pPr>
      <w:r>
        <w:t>Risk Factors And Limitations</w:t>
      </w:r>
    </w:p>
    <w:p>
      <w:r>
        <w:t>1) Data access/legal barriers: selection-committee scores and manuscript-level editorial assignment data may be restricted; fallback proxies (journal-level rates, author-level aggregated measures) might reduce precision. 2) Recruitment risk: reaching N≈150 editors may be infeasible; lower-N trials will have reduced power and require alternative designs. 3) Contamination and interference: spillovers between editors, authors submitting to multiple journals, and norm diffusion can bias estimates. 4) Measurement validity: dispositional scales may not map cleanly to behaviors across cultures (differential item functioning). 5) ABM equifinality: different parameter combinations may reproduce the same macro moments, limiting causal attribution. 6) Statistical power and noncompliance: cluster imbalance, attrition, or low compliance will reduce detectable effects. 7) Biases: survivorship bias in publications, response bias in surveys, and selection into editorial roles can confound observational estimates. 8) Ethical/legal risk: handling sensitive editorial data and whistleblower disclosures carries legal and safety risks. 9) Computational cost: ABC-SMC and extensive identifiability tests require high compute resources. 10) Generalization limits: findings may vary by discipline, national research system, and career stage and may not generalize to all fields.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