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women_tech_founder_visibility_de</w:t>
      </w:r>
    </w:p>
    <w:p>
      <w:r>
        <w:t xml:space="preserve"> </w:t>
      </w:r>
    </w:p>
    <w:p>
      <w:pPr>
        <w:pStyle w:val="Heading2"/>
      </w:pPr>
      <w:r>
        <w:t>Title</w:t>
      </w:r>
    </w:p>
    <w:p>
      <w:r>
        <w:t>Mixed-methods qualitative interviews and structural topic modeling of visibility practices among women tech founders in Germany</w:t>
      </w:r>
    </w:p>
    <w:p>
      <w:r>
        <w:t xml:space="preserve"> </w:t>
      </w:r>
    </w:p>
    <w:p>
      <w:pPr>
        <w:pStyle w:val="Heading2"/>
      </w:pPr>
      <w:r>
        <w:t>Short Hypothesis</w:t>
      </w:r>
    </w:p>
    <w:p>
      <w:r>
        <w:t>Founders who adopt strategic visibility practices that emphasize technical competence and gender-neutral framing achieve higher external visibility (media mentions and investor endorsements) than founders who emphasize relational or feminine framing.</w:t>
      </w:r>
    </w:p>
    <w:p>
      <w:r>
        <w:t xml:space="preserve"> </w:t>
      </w:r>
    </w:p>
    <w:p>
      <w:pPr>
        <w:pStyle w:val="Heading2"/>
      </w:pPr>
      <w:r>
        <w:t>Related Work</w:t>
      </w:r>
    </w:p>
    <w:p>
      <w:r>
        <w:t>Prior work documents the underrepresentation of women founders in tech, gendered norms in startup leadership, and selection mechanisms in media and funding that favor masculine-coded presentations. Qualitative studies show how gendered expectations shape founder behavior but often lack systematic, reproducible operationalization of visibility practices. Quantitative or computational studies measure media presence or fundraising disparities but typically omit fine-grained interview-grounded typologies and multilingual nuances. Topic-modeling and sentiment methods have been applied to startup corpora, yet they often ignore German compound morphology, remove gendered tokens in preprocessing, and omit validation against human-coded interview data. Intersectional axes such as race, disability, and socio-economic background are frequently under-sampled or reported in aggregate, limiting inference for minoritized subgroups. Overall gaps: limited mixed-methods pipelines linking interview typologies to computed topics and a reproducible visibility index, weak multilingual handling, and insufficient pre-specified sampling and stopping rules for saturation.</w:t>
      </w:r>
    </w:p>
    <w:p>
      <w:r>
        <w:t xml:space="preserve"> </w:t>
      </w:r>
    </w:p>
    <w:p>
      <w:pPr>
        <w:pStyle w:val="Heading2"/>
      </w:pPr>
      <w:r>
        <w:t>Abstract</w:t>
      </w:r>
    </w:p>
    <w:p>
      <w:r>
        <w:t>This study investigates how women tech founders in Germany deliberately construct public visibility and whether those practices reproduce (doing), reshape (redoing), or de-emphasize (undoing) gendered norms. We combine 30–40 in-depth, language-preserving interviews with a 250–350 respondent parallel survey, structural topic modeling (STM) with covariates, and a multimodal visibility index built from media mentions, social engagement, conference appearances, and investor endorsements. Main contributions are: (1) an empirically grounded typology operationalized into interview prompts, coder anchors, and survey items; (2) a preregistered, reproducible pipeline for multilingual preprocessing (German compound splitting, lemmatization) and STM topic validation against hand-coded excerpts; (3) a PCA-normalized visibility index and sensitivity analyses of weighting schemes. Expected outcomes include validated typology labels, evidence linking specific visibility strategies to measurable visibility outcomes, and practical, shareable instruments for researchers and ecosystem partners. Results will inform targeted interventions and policy recommendations for gender-equitable founder visibility in German tech.</w:t>
      </w:r>
    </w:p>
    <w:p>
      <w:r>
        <w:t xml:space="preserve"> </w:t>
      </w:r>
    </w:p>
    <w:p>
      <w:pPr>
        <w:pStyle w:val="Heading2"/>
      </w:pPr>
      <w:r>
        <w:t>Methodology</w:t>
      </w:r>
    </w:p>
    <w:p>
      <w:r>
        <w:t>1) Sampling and recruitment: Build frame from accelerator cohorts, VC portfolios, startup registries, and women-founder networks. Recruit 30–40 interview participants for maximum variation across region (Berlin, Munich, Hamburg, Frankfurt, Leipzig, Stuttgart), funding stage, sector, and immigrant/racialized status. Pre-specify oversample of 8–12 immigrant/racialized founders if underrepresented. 2) Interviews: Use semi-structured guide mapped to doing/redoing/undoing dimensions. Record and transcribe in source language. Code utterance-level segments (a short spoken unit). 3) Coding: Develop minimal core codebook with first-order codes and inclusion/exclusion rules; double-code 20–30% of transcripts; compute Cohen's Kappa (agreement measure: 0=no agreement, 1=perfect) and refine codebook if Kappa &lt; 0.6. Use multi-code assignment and an "ambiguity" memo for hybrids. 4) Computational pipeline: Preprocess texts with language-aware tokenization, German compound splitting (breaking long German words into components), lemmatization (converting words to base forms), curated stopwords that KEEP gendered tokens, and include bigrams (two-word phrases). Fit Structural Topic Model (STM) with metadata covariates (funding stage, immigrant status, city, sector, time). Run LDA (latent Dirichlet allocation) as sensitivity check. Candidate topic K range: 10–40. Use held-out likelihood and C_v coherence (a coherence measure that shows topic interpretability) to select K. Validate topics by human raters labeling exemplar quotes. 5) Sentiment/affect: Build a small manually labeled subset and train a supervised classifier or adapt a domain lexicon to capture affective language. 6) Visibility index: Collect raw indicators (normalized media mentions, LinkedIn/Twitter engagement, conference talks, investor endorsements, pitch-deck visibility). Normalize per-platform reach and time window, derive PCA (principal component analysis; a method that finds weighted combinations) weights to produce a 0–100 index. 7) Survey: 250–350 respondents capturing demographics, visibility tactics, and self-classified doing/redoing/undoing orientation; include short social-desirability and vignette items. 8) Multimodal alignment: Harmonize metadata keys (participantID, date, modality, event timestamp) to triangulate interview narratives with public artifacts. 9) Ethics: Tiered consent, optional member-check, four-week withdrawal window before anonymization, secure storage, DPIA and Data Use Agreements for controlled access.</w:t>
      </w:r>
    </w:p>
    <w:p>
      <w:r>
        <w:t xml:space="preserve"> </w:t>
      </w:r>
    </w:p>
    <w:p>
      <w:pPr>
        <w:pStyle w:val="Heading2"/>
      </w:pPr>
      <w:r>
        <w:t>Experiments</w:t>
      </w:r>
    </w:p>
    <w:p>
      <w:r>
        <w:t>Dataset sources: (A) 30–40 in-depth interview transcripts (German and English), (B) parallel survey (n=250–350), (C) public artifacts per founder (media mentions, social posts, pitch decks, conference records). Baselines: (1) survey self-classification (baseline predictor of visibility), (2) LDA topic assignments (alternative topic model), (3) equal-weight visibility index (alternative weighting). Preprocessing parameters: minimum token frequency = 5, remove tokens shorter than 2 characters, include bigrams, German compound splitting enabled/disabled variants. STM candidate K range = {10,15,20,25,30,35,40}. For each K: compute held-out likelihood and C_v coherence; hold-out 20% of documents for validation. Human rater protocol: train 3 raters on 100 exemplars, require &gt;70% label agreement; adjudicate disagreements by third rater. Evaluation metrics: visibility outcome = visibility index (continuous 0–100); media_count (integer); investor_endorsement_count (integer). Model tests: 1) Regression test: linear regression of visibility index on coded typology indicators (doing/redoing/undoing binary flags), controlling for funding stage, sector, city, and founder age; report coefficient, 95% CI, p-value and Cohen's d. 2) Logistic test: logistic regression predicting high-visibility (visibility index in top quartile) from typology indicators and covariates; report odds ratios and AUC. 3) Topic model validity: C_v coherence, held-out likelihood, and human rater agreement on topic labels. 4) Intercoder reliability: Cohen's Kappa on double-coded transcripts for core codes. Ablation studies: A) Remove German compound splitting and compare STM coherence and regression results. B) Remove gendered tokens from preprocessing and compare typology assignment vs original. C) Visibility index weighting: compare PCA-derived weights vs equal weights vs expert-assigned weights; compute Spearman correlation among variants and sensitivity of regression coefficients. Power and sample computations: preregister minimum subgroup N=40 for immigrant vs non-immigrant contrast in survey to detect medium effect (d=0.5) at 80% power (two-sided alpha=0.05); adjust recruitment until minimums met or report underpowered. Data completeness: require &gt;=70% indicator coverage per founder to include visibility index; report sample counts after completeness filtering. Reproducibility: release preprocessing scripts, codebook, and non-identifying aggregated outputs; seed random initializations for topic models and run 10 restarts to test stability.</w:t>
      </w:r>
    </w:p>
    <w:p>
      <w:r>
        <w:t xml:space="preserve"> </w:t>
      </w:r>
    </w:p>
    <w:p>
      <w:pPr>
        <w:pStyle w:val="Heading2"/>
      </w:pPr>
      <w:r>
        <w:t>Risk Factors And Limitations</w:t>
      </w:r>
    </w:p>
    <w:p>
      <w:r>
        <w:t>Recruitment bias toward visible or networked founders, producing non-representative sample. Small or empty cells for intersectional subgroups (race/ethnicity, disability, low SES) limit statistical comparisons and risk re-identification if reported; forced aggregation may hide heterogeneity. Social desirability and retrospective rationalization in interviews can bias self-reports. Translation and transcription loss: nuances in German gendered particles or compounds may be missed despite back-translation. Topic models may be unstable across K and preprocessing choices and yield hard-to-interpret topics. Visibility index depends on available public data; missing platform data or API limits can bias index values. Observational design limits causal claims; confounding variables (e.g., prior networks, firm performance) can explain visibility differences. GDPR and ethical constraints may limit data sharing and detailed reporting for small or high-profile cases. Computational costs: STM with many restarts and human validation is time- and compute-intensive. Generalization confined to German tech ecosystem and to founders who agree to participate.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