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santander_export_growth_regression</w:t>
      </w:r>
    </w:p>
    <w:p>
      <w:r>
        <w:t xml:space="preserve"> </w:t>
      </w:r>
    </w:p>
    <w:p>
      <w:pPr>
        <w:pStyle w:val="Heading2"/>
      </w:pPr>
      <w:r>
        <w:t>Title</w:t>
      </w:r>
    </w:p>
    <w:p>
      <w:r>
        <w:t>Panel and spatial regression analysis of firm-level determinants of export growth in Santander, Colombia</w:t>
      </w:r>
    </w:p>
    <w:p>
      <w:r>
        <w:t xml:space="preserve"> </w:t>
      </w:r>
    </w:p>
    <w:p>
      <w:pPr>
        <w:pStyle w:val="Heading2"/>
      </w:pPr>
      <w:r>
        <w:t>Short Hypothesis</w:t>
      </w:r>
    </w:p>
    <w:p>
      <w:r>
        <w:t>Greater firm-level digitalization causes higher annual export-value growth rates for Santander exporters, controlling for firm size, sector, productivity, and regional infrastructure.</w:t>
      </w:r>
    </w:p>
    <w:p>
      <w:r>
        <w:t xml:space="preserve"> </w:t>
      </w:r>
    </w:p>
    <w:p>
      <w:pPr>
        <w:pStyle w:val="Heading2"/>
      </w:pPr>
      <w:r>
        <w:t>Related Work</w:t>
      </w:r>
    </w:p>
    <w:p>
      <w:r>
        <w:t>Existing studies of export firm growth commonly use panel regressions, dynamic panel estimators (difference/system GMM), event-study difference-in-differences, synthetic control, and spatial econometrics to study trade and firm performance. They typically rely on administrative trade and financial records or cross-sectional surveys. Limitations in prior approaches include weak handling of endogeneity of investment and credit, instrument proliferation in GMM with small samples, inadequate treatment of spatial dependence and travel-time logistics, limited integration of geocoded opportunity-map data, incomplete adjustment for missing financial inputs and measurement error in survey indices, and scarce validation with qualitative mechanisms. Many studies also omit pre-specified multiple-testing protocols and exact model equations, increasing risk of specification searching. This project addresses these gaps by combining panel and spatial methods, explicit instrument pre-specification, and integrated geospatial and qualitative validation, though those remedies themselves require careful finite-sample handling.</w:t>
      </w:r>
    </w:p>
    <w:p>
      <w:r>
        <w:t xml:space="preserve"> </w:t>
      </w:r>
    </w:p>
    <w:p>
      <w:pPr>
        <w:pStyle w:val="Heading2"/>
      </w:pPr>
      <w:r>
        <w:t>Abstract</w:t>
      </w:r>
    </w:p>
    <w:p>
      <w:r>
        <w:t>This study analyzes which firm- and regional-level factors drive export growth among 128 Santander, Colombia exporters over 2010–2020. We combine firm financials, DIAN export records, and a regional opportunity map to estimate causal effects on annual export-value growth, export intensity, and destination diversification. The approach uses a pre-registered primary specification: a dynamic firm fixed-effects panel with time effects and a spatial lag from travel-time weights, estimated primarily via system GMM with limited, collapsed instruments and clear diagnostic thresholds. We complement this with event-study DID for COVID-19 and FTA shocks, IVs based on exogenous infrastructure and banking shocks, and spatial panel models (SDM) when spatial dependence is detected. We compute productivity via ACF/LP methods, construct validated composite indices, and integrate qualitative interviews to interpret mechanisms. The main contribution is a reproducible, causally-focused ranking of drivers of export growth and spatially targeted policy guidance for post-pandemic recovery and trade-agreement adaptation.</w:t>
      </w:r>
    </w:p>
    <w:p>
      <w:r>
        <w:t xml:space="preserve"> </w:t>
      </w:r>
    </w:p>
    <w:p>
      <w:pPr>
        <w:pStyle w:val="Heading2"/>
      </w:pPr>
      <w:r>
        <w:t>Methodology</w:t>
      </w:r>
    </w:p>
    <w:p>
      <w:r>
        <w:t>1) Data assembly: merge firm-year panels (2010–2020) from DIAN export records, Chambers of Commerce and Superintendencia financials, and the Regional Opportunity Map. Standardize firm IDs (NIT) and geocode addresses; attach municipal IDs and compute travel-time to ports and hubs. 2) Cleaning and transforms: winsorize continuous financials at 1st/99th percentiles (to limit outlier influence) and scale/center covariates. 3) Missing data: run Little’s test and logistic missingness models. Primary strategy: multiple imputation by chained equations with predictive mean matching (m=50). Pool estimates using Rubin’s rules (combine estimates and standard errors across imputations). 4) Productivity: estimate TFP with Ackerberg‑Caves‑Frazer (ACF) when intermediate-input data exist; fallback to Levinsohn‑Petrin (LP). (ACF/LP: methods that use input demand to control for simultaneity between inputs and productivity.) 5) Composite indices: build theory-driven indices for digitalization and market access, and compute PCA/FA alternatives; report Cronbach’s alpha and CFA fit. 6) Primary model: dynamic panel with firm FE and year FE plus spatial lag term W·Growth_it where W is travel-time row-normalized matrix. Primary specification equation template: Growth_it = α + ρ Growth_{i,t-1} + β X_{it} + γ Treatment_it + μ_i + λ_t + θ W Growth_it + ε_it. 7) Estimation: primary estimator = system GMM (collapse instruments, lags t-2,t-3 as instruments). Pre-specified diagnostic thresholds: Kleibergen-Paap F&gt;10, Hansen J p&gt;0.05, Arellano-Bond AR(2) p&gt;0.05. If diagnostics fail, use bias-corrected LSDV as alternative. 8) Identification checks: event-study DID for COVID/FTA with leads/lags, synthetic control for sector cohorts, IVs using municipal infrastructure timing and bank liquidity shocks interacted with pre-period credit share. 9) Spatial checks: compute Moran’s I and LISA on residuals; test SAR/SEM/SDM alternatives. 10) Documentation: publish scripts, data dictionary, geocoding confidence flags, and pre-registered estimators and thresholds.</w:t>
      </w:r>
    </w:p>
    <w:p>
      <w:r>
        <w:t xml:space="preserve"> </w:t>
      </w:r>
    </w:p>
    <w:p>
      <w:pPr>
        <w:pStyle w:val="Heading2"/>
      </w:pPr>
      <w:r>
        <w:t>Experiments</w:t>
      </w:r>
    </w:p>
    <w:p>
      <w:r>
        <w:t>Datasets: firm-year panel of 128 exporters 2010–2020 (DIAN export values and destinations), firm financials from Chambers of Commerce and Superintendencia, Regional Opportunity Map geodata, municipal project timelines, and validated qualitative interviews (stratified sample). Baselines: (A) within firm fixed-effects OLS with clustered SEs, (B) dynamic FE with lagged dependent variable estimated by bias-corrected LSDV, (C) system GMM primary estimator, (D) spatial Durbin model (SDM) panel. Primary outcome: annual export-value growth rate; secondary outcomes: export intensity (exports/sales) and number of export destinations. Evaluation metrics and diagnostics: estimated β coefficients and standard errors, p-values, 95% confidence intervals, R-squared, Kleibergen-Paap F-stat, Hansen J p-value, Arellano-Bond AR(1)/AR(2) p-values, Moran’s I for residuals, root mean squared error (RMSE) for prediction, and minimum detectable effect (MDE) from Monte Carlo power sims. Experimental setup: winsorize 1/99, impute missing data (m=50), center covariates, cluster SEs at firm and municipality. Pre-registered primary equation as in Methodology. Ablation and sensitivity studies: (1) remove spatial term (θ=0) to test spatial contribution; (2) omit TFP to assess its incremental explanatory power; (3) replace theory-driven index weights with PCA weights; (4) use alternative instrument sets and report first-stage F and overidentification tests; (5) placebo tests: lead-treatment coefficients in event-study, permutation of locations, and non-spatial placebo outcomes. Report pooled results across imputations and show robustness across estimators.</w:t>
      </w:r>
    </w:p>
    <w:p>
      <w:r>
        <w:t xml:space="preserve"> </w:t>
      </w:r>
    </w:p>
    <w:p>
      <w:pPr>
        <w:pStyle w:val="Heading2"/>
      </w:pPr>
      <w:r>
        <w:t>Risk Factors And Limitations</w:t>
      </w:r>
    </w:p>
    <w:p>
      <w:r>
        <w:t>Small sample size (N≈128) limits statistical power and increases risk of weak instruments and overfitting. System GMM can suffer from instrument proliferation and finite-sample bias; diagnostics may fail and alternatives may reduce precision. Missing data could be MNAR (not missing at random), biasing imputations. Geocoding errors and low-confidence matches may misplace spatial links; high rates of low-confidence matches could reduce usable sample. Measurement error in survey-based indices or financial items can attenuate estimates if validation subsamples are small. Spatial endogeneity (neighbors affecting each other) can complicate causal interpretation and IVs for spatial lags may be weak. External validity is limited: Santander findings may not generalize to other Colombian regions or countries with different infrastructure or trade profiles. Computational demands are moderate, but extensive sensitivity analyses and multiple imputations increase processing time. Policy translation may be constrained if instruments or effects lack clear real-world interventions.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