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effectuation_precommitment_international_performance</w:t>
      </w:r>
    </w:p>
    <w:p>
      <w:r>
        <w:t xml:space="preserve"> </w:t>
      </w:r>
    </w:p>
    <w:p>
      <w:pPr>
        <w:pStyle w:val="Heading2"/>
      </w:pPr>
      <w:r>
        <w:t>Title</w:t>
      </w:r>
    </w:p>
    <w:p>
      <w:r>
        <w:t>Survey and mixed-methods analysis of how SME pre-commitments and staging logic drive foreign market entry opportunities and international performance</w:t>
      </w:r>
    </w:p>
    <w:p>
      <w:r>
        <w:t xml:space="preserve"> </w:t>
      </w:r>
    </w:p>
    <w:p>
      <w:pPr>
        <w:pStyle w:val="Heading2"/>
      </w:pPr>
      <w:r>
        <w:t>Short Hypothesis</w:t>
      </w:r>
    </w:p>
    <w:p>
      <w:r>
        <w:t>Higher levels of SME pre-commitment (staged real-options) increase international performance by generating more foreign market entry opportunities, and this indirect effect is stronger when experiential learning is high.</w:t>
      </w:r>
    </w:p>
    <w:p>
      <w:r>
        <w:t xml:space="preserve"> </w:t>
      </w:r>
    </w:p>
    <w:p>
      <w:pPr>
        <w:pStyle w:val="Heading2"/>
      </w:pPr>
      <w:r>
        <w:t>Related Work</w:t>
      </w:r>
    </w:p>
    <w:p>
      <w:r>
        <w:t>Prior work on effectuation and international entrepreneurship finds that decision heuristics like pre-commitment, staging, and affordable-loss are associated with greater opportunity creation and better international outcomes for small and medium enterprises (SMEs). Studies also use real-options reasoning to explain staged entry decisions. Limitations in existing research include heavy reliance on cross-sectional, single-respondent surveys that weaken causal claims; inconsistent operationalization of constructs (reflective vs formative ambiguity); limited use of objective performance data; weak attention to endogeneity (reverse causality and omitted variables); and low statistical power to detect mediated or moderated-mediation effects. Qualitative evidence has clarified mechanisms but is rarely integrated with pre-registered quantitative tests. These gaps leave unresolved whether pre-commitments causally produce opportunities and performance and how experiential learning alters that causal chain.</w:t>
      </w:r>
    </w:p>
    <w:p>
      <w:r>
        <w:t xml:space="preserve"> </w:t>
      </w:r>
    </w:p>
    <w:p>
      <w:pPr>
        <w:pStyle w:val="Heading2"/>
      </w:pPr>
      <w:r>
        <w:t>Abstract</w:t>
      </w:r>
    </w:p>
    <w:p>
      <w:r>
        <w:t>We study whether and how SME pre-commitments, staging logic, and affordable-loss reasoning shape the creation of foreign market entry opportunities and, in turn, international performance. Using a mixed-methods approach we combine a cognitive-tested survey of New Zealand SMEs (target N=332) with purposive qualitative case interviews and administrative linkages where consented. We model opportunity creation as the mediating mechanism between effectuation behaviors and international outcomes, and we test experiential learning as a moderator of staging's effect on opportunity creation. Analytically, we use PLS-SEM for the main model, Monte Carlo power analysis for design calibration, and an endogeneity hierarchy (Gaussian copula, control-function, instrumental variables) to probe causal claims. The main contribution is a pre-registered, reproducible test of effectuation-as-real-options that integrates objective outcomes and process evidence, producing clearer evidence on causal pathways and conditional effects for SME internationalization.</w:t>
      </w:r>
    </w:p>
    <w:p>
      <w:r>
        <w:t xml:space="preserve"> </w:t>
      </w:r>
    </w:p>
    <w:p>
      <w:pPr>
        <w:pStyle w:val="Heading2"/>
      </w:pPr>
      <w:r>
        <w:t>Methodology</w:t>
      </w:r>
    </w:p>
    <w:p>
      <w:r>
        <w:t>1. Measurement and survey: develop item pools for pre-commitment (types of commitments made), staging logic (sequential testing and resource staging), affordable loss (loss limits signaled to partners), opportunity creation (new market leads, partners, deals), experiential learning (years, episodes, reflective routines), and international performance (subjective and objective measures). Perform 30–50 cognitive interviews to refine wording. 2. Pilot and finalize: run a pilot (N=30–50) to check item clarity, internal consistency, and formative vs reflective behavior. Use confirmatory tetrad analysis (CTA-PLS) to test whether blocks are formative (indicators form the construct) or reflective (indicators reflect the construct). 3. Main data collection: survey target N≈332 NZ SMEs with mixed-mode administration; collect consent for NZBN-based linkage to NZTE/StatsNZ/Customs where possible. 4. Quantitative analysis: primary estimator PLS-SEM to estimate direct, indirect (mediation), and conditional indirect (moderated mediation) effects. Use bootstrapping (≥5,000 resamples) to get confidence intervals. 5. Endogeneity checks: run Gaussian copula and Durbin–Wu–Hausman style tests for suspect paths; if flagged, implement control-function corrections and, where valid, instrumental-variable (IV) estimation using exogenous timing instruments (e.g., first NZTE contact date). 6. Power and simulations: run Monte Carlo simulations (≥5,000 reps) to verify that N provides ≥80% power to detect indirect and conditional indirect effects. 7. Qualitative integration: conduct 20–30 semi-structured interviews using timeline mapping and process tracing to verify temporal order, probe selection into programs (IV plausibility), and explain divergent quantitative results. 8. Reporting: pre-register measurement rules (reflective/formative), missing-data handling, endogeneity decision tree, and primary vs secondary outcomes. (Technical terms explained simply: PLS-SEM is a statistical method that estimates relationships between measured items and latent concepts and is robust with smaller samples; an instrumental variable is an external factor linked to the cause but not directly to the outcome, used to check causal claims.)</w:t>
      </w:r>
    </w:p>
    <w:p>
      <w:r>
        <w:t xml:space="preserve"> </w:t>
      </w:r>
    </w:p>
    <w:p>
      <w:pPr>
        <w:pStyle w:val="Heading2"/>
      </w:pPr>
      <w:r>
        <w:t>Experiments</w:t>
      </w:r>
    </w:p>
    <w:p>
      <w:r>
        <w:t>Datasets: (1) Pilot survey (N=30–50) for item testing. (2) Main survey of New Zealand SMEs targeting N≈332 completed responses, including owner/manager respondents. (3) Administrative linkage subset: NZBN-linked NZTE participation dates, Customs export volumes, Stats NZ revenue bands where firms consent. Baselines: Baseline A = PLS-SEM without endogeneity correction. Baseline B = CB-SEM (covariance-based SEM) where measurement model assumptions hold. Baseline C = PLS-SEM with marker-variable latent-method factor for common-method bias. Primary model: PLS-SEM estimating Pre-commitment, Staging, Affordable Loss → Opportunity Creation → International Performance with Experiential Learning moderating Staging→Opportunity. Endogeneity ablations: (i) add Gaussian copula correction, (ii) add control-function correction, (iii) IV-PLS using NZTE timing if IV diagnostics pass. Ablation studies: A1 = model excluding experiential learning moderator; A2 = model using only subjective performance; A3 = model using objective performance (export sales bands) as outcome. Evaluation metrics: path coefficient significance (bootstrap percentile CI), indirect effect size and CI, R2 for endogenous constructs, Q2 predictive relevance, PLSpredict out-of-sample RMSE, first-stage F-statistic for IVs (&gt;10 threshold), Hansen overidentification p-value (&gt;0.10 threshold), VIF (&lt;3.3 for formative blocks), CTA-PLS decision output. Experimental setup: bootstrap resamples = 5,000; Monte Carlo power sims = 5,000 reps with indicator loadings ~0.70 and structural betas staging→opportunity = 0.20 and opportunity→performance = 0.25; missing-data strategy: if ≤5% use PLS full-information, if 5–30% perform multiple imputation (m=20) and compare; outlier checks via Mahalanobis distance and standardized residuals. Subgroup tests: median and tercile splits on experiential learning; multi-group invariance tests by industry and firm size. Reporting: present baseline and corrected estimates side-by-side and pre-specify the primary estimate used for inference.</w:t>
      </w:r>
    </w:p>
    <w:p>
      <w:r>
        <w:t xml:space="preserve"> </w:t>
      </w:r>
    </w:p>
    <w:p>
      <w:pPr>
        <w:pStyle w:val="Heading2"/>
      </w:pPr>
      <w:r>
        <w:t>Risk Factors And Limitations</w:t>
      </w:r>
    </w:p>
    <w:p>
      <w:r>
        <w:t>1. Instrument validity: proposed IVs (e.g., NZTE contact timing) may be endogenous due to selection, undermining causal claims. 2. Cross-sectional design: single-wave survey limits ability to prove causality despite retrospective timing items and corrections. 3. Single-respondent bias: relying on one respondent per firm may introduce common-method variance and recall error. 4. Recall bias: retrospective timing questions can be inaccurate. 5. Measurement ambiguity: formative vs reflective misclassification can bias estimates if rules fail. 6. Low power for moderated mediation: N≈332 may be underpowered to detect small conditional indirect effects, especially in subgroup splits. 7. Nonresponse and sample bias: SMEs hard to reach may produce unrepresentative samples; administrative linkage requires consent and may reduce sample size. 8. Endogeneity correction limits: control-function and Gaussian copula rely on assumptions and may not fully remove bias. 9. Generalizability: results from New Zealand SMEs may not generalize to larger firms or other countries. 10. Data linkage/legal constraints: access to Customs or Stats NZ data may be restricted, delaying objective outcome inclusion. 11. Method limits: PLS-SEM emphasizes prediction and may not fully capture latent variable theory compared with CB-SEM in all cases.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