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configurable_variability_expertise</w:t>
      </w:r>
    </w:p>
    <w:p>
      <w:r>
        <w:t xml:space="preserve"> </w:t>
      </w:r>
    </w:p>
    <w:p>
      <w:pPr>
        <w:pStyle w:val="Heading2"/>
      </w:pPr>
      <w:r>
        <w:t>Title</w:t>
      </w:r>
    </w:p>
    <w:p>
      <w:r>
        <w:t>A repository-mining and measurement-error-aware empirical study of developer engagement and expertise in preprocessor-based configurable software systems</w:t>
      </w:r>
    </w:p>
    <w:p>
      <w:r>
        <w:t xml:space="preserve"> </w:t>
      </w:r>
    </w:p>
    <w:p>
      <w:pPr>
        <w:pStyle w:val="Heading2"/>
      </w:pPr>
      <w:r>
        <w:t>Short Hypothesis</w:t>
      </w:r>
    </w:p>
    <w:p>
      <w:r>
        <w:t>If conventional expertise metrics capture proficiency with variable code, then developers with higher conventional metric values (e.g., total commits, file ownership) will make a higher per-developer rate of variable-code edits (lines guarded by preprocessor directives) than developers with lower metric values, controlling for total activity and tenure.</w:t>
      </w:r>
    </w:p>
    <w:p>
      <w:r>
        <w:t xml:space="preserve"> </w:t>
      </w:r>
    </w:p>
    <w:p>
      <w:pPr>
        <w:pStyle w:val="Heading2"/>
      </w:pPr>
      <w:r>
        <w:t>Related Work</w:t>
      </w:r>
    </w:p>
    <w:p>
      <w:r>
        <w:t>Prior work measures developer expertise using simple static signals such as total commits, lines changed, and file-level ownership, and some studies examine configurability or variability in single projects. Existing approaches commonly assume labels for variable code are exact, use heuristic mappings from guards to features, ignore per-line label uncertainty, and do not jointly model detector error in downstream inference. They also often omit rigorous identity-resolution, vendor-code exclusion, multi-language handling, or human validation. Limitations include: (1) vulnerability to mislabeling from complex preprocessor expressions and code moves, (2) leakage and circularity when label-derived features are used to validate detectors, (3) lack of gold-standard annotation and uncertainty propagation, and (4) sparse treatment of concentration measures and per-project heterogeneity. These gaps leave open whether conventional metrics actually recover variable-code expertise at scale.</w:t>
      </w:r>
    </w:p>
    <w:p>
      <w:r>
        <w:t xml:space="preserve"> </w:t>
      </w:r>
    </w:p>
    <w:p>
      <w:pPr>
        <w:pStyle w:val="Heading2"/>
      </w:pPr>
      <w:r>
        <w:t>Abstract</w:t>
      </w:r>
    </w:p>
    <w:p>
      <w:r>
        <w:t>We study whether conventional developer expertise metrics recover who works on variable code in configurable software systems where variability is implemented with preprocessor directives. We mine repositories of configurable systems, label guarded code regions with per-line probabilities, and propagate label uncertainty into expertise measurements and inferential models. Main technical elements: normalized preprocessor-expression parsing with conservative fallbacks, multiple imputation to propagate per-line label probabilities, measurement-error-aware mixed models to correct downstream bias, and a Variability Expertise Score (VES) learned by cross-validated regularized models to recover gold-standard specialists. Primary contribution is a reproducible pipeline and evaluation framework that tests whether static expertise metrics align with actual variable-code work, quantifies label and identity uncertainty, and reports concentration measures (Gini, HHI) with uncertainty. Expected outcome: evidence-based assessment of metric validity and clear gating rules for scaling repository mining of configurable systems.</w:t>
      </w:r>
    </w:p>
    <w:p>
      <w:r>
        <w:t xml:space="preserve"> </w:t>
      </w:r>
    </w:p>
    <w:p>
      <w:pPr>
        <w:pStyle w:val="Heading2"/>
      </w:pPr>
      <w:r>
        <w:t>Methodology</w:t>
      </w:r>
    </w:p>
    <w:p>
      <w:r>
        <w:t>1) Project selection: select 25 preprocessor-based configurable software system repositories and clone full git history. 2) Guard extraction and normalization: parse preprocessor guards, expand defined(...), canonicalize boolean operators, and cap CNF expansion (100 terms, nesting depth 6). If cap exceeded or expression uses arithmetic/tool-specific ops, mark UNNORMALIZED and assign lower mapping confidence. 3) Line-level labeling: map guards to feature identities where possible and assign each line a probability of being variable based on guard mapping confidence and build-symbol extraction. 4) Identity resolution: apply deterministic merges (exact email → normalized name+local → high-similarity heuristic) and train a probabilistic matcher for ambiguous cases; prioritize manual reviews via active learning. 5) Gold standard: annotate ~600 hunks stratified by project, region type, and complexity with two annotators and adjudication. 6) Uncertainty propagation: run multiple imputation (M=20) sampling per-line labels from their probabilities and pool estimates with Rubin’s rules; also compute probability-weighted counts as a quick check. 7) VES construction: compute per-developer features (label-derived and non-label signals), normalize per-project to [0,1], and learn weights with cross-validated regularized logistic regression optimizing precision@k and AUC. To avoid circularity, hold out label-derived features when training on label recovery tasks. 8) Measurement-error models: implement hierarchical misclassification (Stan) and Bayesian latent-class models (PyMC) to estimate true variable status and propagate uncertainty into mixed-effects models. 9) Inference: fit mixed-effects negative binomial models for variable-line counts and mixed-effects logistic or beta regressions for proportions, controlling for total activity, tenure, project size, and excluded-code fraction. 10) Concentration: compute Gini, HHI, Lorenz curves and top-k shares with bootstrap CIs. 11) Reporting: produce per-hunk precision/recall/F1, per-project sensitivity/specificity with 95% CIs, calibration plots, and preregistered thresholds to gate scaling.</w:t>
      </w:r>
    </w:p>
    <w:p>
      <w:r>
        <w:t xml:space="preserve"> </w:t>
      </w:r>
    </w:p>
    <w:p>
      <w:pPr>
        <w:pStyle w:val="Heading2"/>
      </w:pPr>
      <w:r>
        <w:t>Experiments</w:t>
      </w:r>
    </w:p>
    <w:p>
      <w:r>
        <w:t>Datasets: 25 configurable software system repositories (C/C++ and related languages with preprocessor use), full git history (tens of thousands of commits, many developers); pilot on 2–3 projects for 4–6 weeks. Gold-standard: 600 stratified hunks (two annotators, adjudication). Baselines: (A) conventional metrics: total_commits, total_LOC_changed, file_ownership (fraction of lines in a file edited by a dev), recency-weighted activity; (B) naive variable detectors: raw guard-count and naive guard→feature mapping without normalization; (C) VES ablations: VES without label-derived features, VES without non-label features. Evaluation metrics: per-hunk precision, recall, F1, PR curves; per-project sensitivity and specificity with 95% confidence intervals; AUC and precision@k for specialist recovery; calibration plots and Brier score; model diagnostics Rhat and ESS for Bayesian fits; concentration metrics (Gini, HHI, top-5/top-10 shares) with bootstrap CIs and permutation tests. Experimental setup: 1) Preprocess repos and compute per-line label probabilities; 2) Run M=20 multiple imputations and compute pooled estimates with Rubin’s rules for all derived metrics; 3) Train VES weights via developer-wise cross-validation (no developer leakage); 4) Compare VES and baselines on gold-standard specialist recovery (AUC, precision@k); 5) Fit measurement-error-aware models and naive models for primary inference (mixed-effects negative binomial for counts, logistic for specialist labels); 6) Ablations: (i) VES without label-derived features, (ii) VES with UNNORMALIZED expressions treated as unknown vs excluded, (iii) sensitivity to M (M=20 vs M=50 vs M=100), (iv) per-language detector performance. Gate criteria to scale beyond pilot: per-hunk precision &gt;= 0.80 and per-project sensitivity &gt;= 0.75 on the gold-standard; region_mapping_rate &gt;= 0.90 or acceptable sensitivity analyses if 0.70–0.90. Reproducibility: developer-locked cross-validation, fixed random seeds, containerized pipeline and published sampling code for gold-standard selection.</w:t>
      </w:r>
    </w:p>
    <w:p>
      <w:r>
        <w:t xml:space="preserve"> </w:t>
      </w:r>
    </w:p>
    <w:p>
      <w:pPr>
        <w:pStyle w:val="Heading2"/>
      </w:pPr>
      <w:r>
        <w:t>Risk Factors And Limitations</w:t>
      </w:r>
    </w:p>
    <w:p>
      <w:r>
        <w:t>1) Guard mapping failure: complex expressions, tool-specific extensions, and CNF caps can leave regions UNNORMALIZED, producing missing or biased labels. 2) Label ambiguity: annotators may disagree on hunk-level variable status, limiting gold-standard reliability and inflating measurement-error. 3) Identity resolution errors: false merges or missed merges can bias per-developer metrics and concentration measures. 4) Vendor/generated code: undetected third-party code can distort counts and expertise attribution. 5) Language coverage: methods optimized for C-family preprocessors may not generalize to other languages and could produce uneven performance. 6) Sparse or heavy-tailed projects: extreme overdispersion or too few specialists per project can reduce power and make per-project inference unstable. 7) Compute and scaling: multiple imputation and Bayesian models are computationally expensive for full-scale runs. 8) External validity: results from 25 projects may not generalize to all configurable systems, build systems, or organizations. 9) Measurement circularity risk remains if label-derived signals leak into validation despite safeguards. 10) Privacy and ethics: de-identification may limit reproducibility if mapping tables cannot be shared publicly.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