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pyrobuilds_incremental_reuse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Pyrobuilds: accelerating exploration of large configurable software spaces by reuse of controlled incremental builds guided by sensitivity maps and deny lists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sensitivity-map-guided incremental reuse with deterministic mutation-size sampling and deny-list enforcement reduces aggregate build CPU time by at least 30% relative to clean rebuilds while maintaining reproducibility recall ≥95% and precision ≥90% under probabilistic verification.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content-addressable build caches and distributed build systems that reuse artifacts by exact match of inputs, static-analysis methods that approximate file-to-option dependencies, and sampling-based configuration exploration that picks random or heuristic neighbors. Delta-debugging provides ways to isolate minimal failing changes but is often costly and non-deterministic. Provenance and attestation schemes (in-toto, SLSA-like predicates) support signed artifacts but are not typically used to enable safe cross-configuration reuse. Limitations: cache-only reuse requires exact matches and fails across most configuration changes; static-only analysis either over-approximates (losing reuse) or misses dependencies (unsafe reuse); random sampling does not control build proximity so incremental reuse is inefficient; delta-debugging lacks budgeted, sensitivity-aware heuristics for large flip-sets; provenance signing alone does not yield fine-grained sensitivity maps needed to decide safe reuse. No existing method combines reproducible per-object sensitivity traces, a controlled distance-based sampler, deny-list lifecycle automation, and a CAS-driven verification policy to safely increase reuse across configurations.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Exploring large configurable software spaces requires many builds across configurations, which is costly. We propose Pyrobuilds, a method that accelerates exploration by reusing incremental build artifacts safely and reproducibly. Pyrobuilds records per-compilation sensitivity maps (what configuration options and headers each object depends on), exposes a deterministic mutation operator constrained by a normalized weighted distance (mutation-size), and enforces two deny lists: generation-deny (blocks unsafe candidates) and reuse-deny (disables reuse for artifacts touching risky inputs). A delta-planner consults sensitivity maps and deny lists to fetch artifacts from a content-addressable store when safe, otherwise triggers sandbox rebuilds. A triage pipeline uses deterministic ddmin-style bisection and a scored automation policy to propose deny-list entries when reproducibility violations appear. The main contribution is a coherent, implementable pipeline that trades small, controlled configuration changes for much higher incremental reuse while preserving reproducibility via signed .meta records and probabilistic verification. Expected outcome: large reductions in CPU time for configuration sweeps with measurable bounds on reproducibility loss.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implement a pipeline that emits per-object sensitivity maps, samples nearby configurations deterministically, and decides reuse via CAS + verification. Steps: 1) Sensitivity emitter: add a compiler wrapper that records for each compilation unit the included headers, defined macros, compiler command-line, and mapping from options to observed preprocessor symbols. The emitted sensitivity map is a small structured list associating option IDs and include-file IDs to the object. 'Sensitivity map' means a compact record of which config options and inputs an object read during compilation. 2) .meta and CAS: for every produced artifact write a canonical JSON .meta (artifact_id, artifact_hash, inputs, compiler_commandline, config_fingerprint, sensitivity_map_ref, deny_list_hits, provenance_ref, signature). Store artifacts and .meta in a content-addressable store (CAS). 3) Distance and sampler: represent a configuration as a vector of option values; define per-option distances normalized to [0,1] (booleans 0/1, tristate normalized by 2, enums by ordinal range, numerics by domain range). Compute a weighted normalized distance D(c,c') = sum_i w_i * d_i where w_i are normalized sensitivity weights proportional to number of dependent targets. The mutation-size m is a hard admissibility threshold: candidate c' is allowed only if D(c,c') ≤ m. Implement a deterministic sampler: seed RNG with experiment seed, sort options by increasing w_i, select options with p_i ∝ (1 − w_i), apply bounded incremental steps for enums/numerics, repair constraints with kconfiglib deterministically, and cap retries R_gen (default 50). 4) Delta-planner reuse decision: for each object in new config, consult its sensitivity map and .meta. If none of the changed options intersect the sensitivity set and the artifact is signed and not DR-tagged, fetch from CAS. Otherwise rebuild. 5) Deny lists: maintain DG (generation-deny) to block generator outputs touching problematic options and DR (reuse-deny) to block reuse of artifacts whose sensitivity or provenance touches problematic inputs. Record deny hits in .meta. 6) Verification and provenance: on fetch verify signature and artifact hash; run probabilistic verification tests on a configurable fraction (1–5%) and always for DR-tagged artifacts. 7) Triage: when verification or functional checks fail, run deterministic ddmin-style bisection over flipped options to find minimal subsets causing divergence (R_dd confirmation runs per candidate), produce scored deny candidates S = 0.5*freq + 0.4*impact + 0.1*(1 − fixability), and auto-suggest DG/DR per thresholds. Technical terms: CAS = content-addressable storage, ddmin = delta debugging bisection, sensitivity map = per-object option/input dependencies.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BusyBox (small), Toybox (medium), and a trimmed Linux kernel tree (large) with representative Kconfig. Baselines: (A) clean rebuild baseline (no reuse), (B) naive cache reuse only when exact inputs match, (C) static-only sensitivity approximation (header-closure), (D) random mutation sampling with full rebuilds. Pyrobuilds variants: full pipeline, sensitivity-weighting off, deny-lists disabled, verification fractions {0%,1%,5%,100%}. Metrics: median and 95th-percentile compile-time overhead for instrumentation, sensitivity recall (true dependencies found) and precision (spurious deps), CAS cache hit-rate, saved CPU-hours per successful fetch, verification-failure rate, triage false-positive rate (deny proposals that are unnecessary), storage per artifact (MB), and sensitivity-map merge throughput (objects/hour). Experimental setup: paired design comparing incremental-from-previous (Pyrobuilds) vs clean rebuild for identical configs; for BusyBox run R=10 seeds × N=50 neighbors, for Toybox R=5 × N=50, for Linux-scale run 5 seeds × 50 neighbors (≈250 pairs per cell). Sweep mutation_size m ∈ {0.01,0.03,0.05,0.1,0.2}. Ablations: (1) sensitivity-weighting on vs off, (2) deny-lists enabled vs disabled, (3) ddmin standard bisection vs weighted bisection (prioritize options by sensitivity weight), (4) verification fraction comparisons. Statistical tests: paired Wilcoxon signed-rank for build-time savings, compute 95% bootstrap CIs for hit-rate and recall. Calibration experiments: grid-search over R_gen ∈ {10,50,100} and R_dd ∈ {3,10,20} to measure cost vs benefit; stop when incremental hit-rate improvements plateau or verification failures rise above target. Report per-system cost model (storage, verification CPU) and break-even 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Missed dependencies (false negatives) in sensitivity maps can cause silent incorrect reuse; this risk scales with incomplete instrumentation. 2) Spurious dependencies (false positives) reduce reuse and lower benefits. 3) Delta-debugging worst-case cost is high (O(n^2) tests); large flip-sets may exceed budget and require escalation. 4) Non-deterministic generators and flaky toolchains lead to inconsistent verdicts and high triage load. 5) CAS storage growth and verification CPU can dominate cost for large experiments; cold storage latencies may affect throughput. 6) Scaling assumptions from BusyBox may not hold for full Linux trees; merge throughput and memory use may be inadequate. 7) Functional smoke-tests may accept divergent but incorrect behaviors (false accept) or reject acceptable minor differences (false reject). 8) Security and trust risks: key compromise, builder insider threats, replay attacks, and malicious CAS entries are realistic threats. 9) Generalization limits: approach depends on locality of configuration changes; highly global option interactions reduce incremental reuse. 10) Operational burden: deny-list curation, triage workload, and curator SLAs may be underestimated in practice.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