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agentarc_eval</w:t>
      </w:r>
    </w:p>
    <w:p>
      <w:r>
        <w:t xml:space="preserve"> </w:t>
      </w:r>
    </w:p>
    <w:p>
      <w:pPr>
        <w:pStyle w:val="Heading2"/>
      </w:pPr>
      <w:r>
        <w:t>Title</w:t>
      </w:r>
    </w:p>
    <w:p>
      <w:r>
        <w:t>AgentArcEval: a scenario-driven architecture evaluation method for foundation-model-based agents</w:t>
      </w:r>
    </w:p>
    <w:p>
      <w:r>
        <w:t xml:space="preserve"> </w:t>
      </w:r>
    </w:p>
    <w:p>
      <w:pPr>
        <w:pStyle w:val="Heading2"/>
      </w:pPr>
      <w:r>
        <w:t>Short Hypothesis</w:t>
      </w:r>
    </w:p>
    <w:p>
      <w:r>
        <w:t>Applying AgentArcEval's scenario-driven K×M ensemble protocol and architecture-aware metrics will detect a higher unsafe-output rate and reveal more architecture-attributable failures than single-run, non-architecture-aware evaluation for the same agent configuration.</w:t>
      </w:r>
    </w:p>
    <w:p>
      <w:r>
        <w:t xml:space="preserve"> </w:t>
      </w:r>
    </w:p>
    <w:p>
      <w:pPr>
        <w:pStyle w:val="Heading2"/>
      </w:pPr>
      <w:r>
        <w:t>Related Work</w:t>
      </w:r>
    </w:p>
    <w:p>
      <w:r>
        <w:t>Existing evaluation approaches for large language model (LLM) systems focus on task-level benchmarks, single-run scoring, or ad-hoc red-team prompts. Robustness testing and adversarial evaluation highlight failure modes but typically ignore agent composition, tool interactions, and continuous updates. Reproducibility work emphasizes seeds and deterministic sampling for models, but vendor-managed LLM nondeterminism and provider drift remain poorly addressed. Privacy-focused studies apply differential privacy to aggregate releases, yet they rarely connect DP calibration to trace-sensitive agent outputs. Causal attribution methods and hierarchical statistical models are used elsewhere, but prior evaluation pipelines do not combine causal do-interventions with scenario catalogues and simulator-fidelity checks. Limitations across these approaches include: single-run bias, lack of standardized scenario parametrization, insufficient handling of nondeterminism and provider variance, weak linkage between metrics and architecture components, and incomplete governance for privacy and replayed traces.</w:t>
      </w:r>
    </w:p>
    <w:p>
      <w:r>
        <w:t xml:space="preserve"> </w:t>
      </w:r>
    </w:p>
    <w:p>
      <w:pPr>
        <w:pStyle w:val="Heading2"/>
      </w:pPr>
      <w:r>
        <w:t>Abstract</w:t>
      </w:r>
    </w:p>
    <w:p>
      <w:r>
        <w:t>We introduce AgentArcEval, a structured method for evaluating the architectures of foundation-model-based agents. AgentArcEval uses a parameterized scenario catalogue, an engineered harness that records strict traces, and a reproducibility ensemble (K prompt perturbations × M independent runs) to account for nondeterminism and provider variance. Architecturally-aware metrics (unsafe-output rate, policy-violation score, AUCdeg) and causal do-interventions enable attribution of failures to components (planner, memory, tools, executor). Statistical analysis combines bootstrap confidence intervals, mixed-effects or Bayesian hierarchical models, and simulator-fidelity checks (KL/MMD, DTW) to validate externality of simulators. The method includes sample-size defaults for risk tiers, DP-calibrated release rules for public aggregates, and a scenario catalogue for systematic coverage. Expected outcomes: more reliable detection of unsafe or failure-prone architecture behaviors, actionable component-level attribution, and reproducible confirmatory evaluations that support governance and safer deployment decisions.</w:t>
      </w:r>
    </w:p>
    <w:p>
      <w:r>
        <w:t xml:space="preserve"> </w:t>
      </w:r>
    </w:p>
    <w:p>
      <w:pPr>
        <w:pStyle w:val="Heading2"/>
      </w:pPr>
      <w:r>
        <w:t>Methodology</w:t>
      </w:r>
    </w:p>
    <w:p>
      <w:r>
        <w:t>1) Scenario catalogue: author parameterized JSON templates (template_id, axes like adversary_strength, noise_level, tool_availability) and seed bundles (env_seed, prompt_paraphrase_set, tool_seed). 2) Harness and tracing: implement a runner that accepts scenario_id, instantiation_id, agent_config, and seed bundle; emit append-only traces with fields: timestamp, trace_id, trial_index, agent_version, model_commit_hash, rng_seeds, request_meta, action, tool_call, observation, reward_score, env_state_snapshot, redaction_flags. 3) Reproducibility ensemble: for each instantiation run K prompt perturbations × M independent API calls (defaults K=5, M=6). Cache provider responses with provenance for replay. 4) Metrics computation: compute unsafe-output rate = unsafe_outputs/total_outputs; policy-violation score = (1/N) sum severity_i with severity in [0,1]; AUCdeg = normalized integral of performance across adversary_strength grid (discrete trapezoid). Provide pseudocode for edge cases (N=0). 5) Statistical analysis: estimate per-metric bootstrap CIs (cluster/block bootstrap for correlated data), fit mixed-effects or Bayesian hierarchical models y ~ fixed(adversary_strength, noise) + (1|provider) + (1|scenario) + (1|agent_instance). Run posterior predictive checks and report variance components. 6) Causal probes: define DAG of components (planner→memory→tools→executor→output); perform do-interventions (ablation, tool-swap, injected-malform) with randomized assignment where possible and analyze difference-in-means or model-based conditional effects. 7) Simulator-fidelity: compare simulator vs production/replayed traces via KL/MMD on action distributions and DTW for temporal sequences; require task-success parity within Δ=5–10% for acceptance. 8) Privacy &amp; governance: calibrate Gaussian DP noise for published aggregates with chosen ε/δ, mark DP-sensitive templates, and maintain encrypted retention of raw traces with 90-day default.</w:t>
      </w:r>
    </w:p>
    <w:p>
      <w:r>
        <w:t xml:space="preserve"> </w:t>
      </w:r>
    </w:p>
    <w:p>
      <w:pPr>
        <w:pStyle w:val="Heading2"/>
      </w:pPr>
      <w:r>
        <w:t>Experiments</w:t>
      </w:r>
    </w:p>
    <w:p>
      <w:r>
        <w:t>Datasets: (A) scenario instantiations from the catalogue (high-priority seeds: unauthorized-exfiltration-v1, cascading-tool-malform-v1, long-horizon-orders-v1, jailbreak-prompt-v1, domain-shift-medical-v1); (B) simulator-generated traces and (C) replayed production traces where available. Baselines: (1) single-run evaluation per instantiation (one prompt, one call); (2) naive aggregation across runs without architecture-aware metrics; (3) ensemble but without architecture-aware causal probes. Metrics: unsafe-output rate, policy-violation score, AUCdeg, task-success rate, time-to-recovery, leakage_count, reproducibility CI width. Setup: instantiate each template with stratified sampling over adversary_strength∈{low,mid,high}, noise_level∈{0,0.1,0.3}, tool_latency∈{nominal,50,500ms}, tool_availability∈{100,90,70}. For each instantiation run K=5 prompt perturbations × M=6 runs → 30 trials. Sample-size tiers: exploratory N=30, validation N=100, confirmatory N=1000. Analysis: compute bootstrap 95% CIs (cluster by instantiation), fit mixed-effects model and report fixed-effect estimates and random variances. Statistical tests: compare unsafe-output rate between AgentArcEval protocol and baselines using two-sided tests with family error control (hierarchical Bonferroni for confirmatory family). Ablation studies: (A) reduce K to 1 to measure effect on CI width and missed failures, (B) disable caching to measure reproducibility loss, (C) perform component ablation (planner removed) to measure failure-transfer rate. Simulator-fidelity check: for simulated vs replayed traces compute MMD and DTW; record acceptance if task-success parity within Δ=5%. Report cost per instantiation and per-tier (API calls, storage).</w:t>
      </w:r>
    </w:p>
    <w:p>
      <w:r>
        <w:t xml:space="preserve"> </w:t>
      </w:r>
    </w:p>
    <w:p>
      <w:pPr>
        <w:pStyle w:val="Heading2"/>
      </w:pPr>
      <w:r>
        <w:t>Risk Factors And Limitations</w:t>
      </w:r>
    </w:p>
    <w:p>
      <w:r>
        <w:t>1) Provider nondeterminism and model drift: external LLM providers may change behavior or sampling details, limiting exact reproducibility and potentially invalidating cached traces. 2) Statistical identifiability: hierarchical models may be weakly identified with small sample sizes or highly correlated random effects, producing unreliable variance estimates. 3) Simulator mismatch: synthetic simulators can fail to capture real-world temporal dynamics or rare failure modes, causing false confidence. 4) Privacy and cached outputs: cached prompts and model outputs may contain sensitive data; retention and legal constraints may limit storage and replay. 5) Human rater variability: explanation and policy rubrics rely on human judgment, which may be noisy and require many raters for stability. 6) Cost and scalability: confirmatory runs (N≥1000) across many scenarios incur significant API, compute, and storage costs. 7) DP utility loss: added DP noise on small aggregates can obscure rare but important harms. 8) Generalization limits: findings tied to tested scenarios, agent versions, and providers may not generalize to unseen architectures or deployment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