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reffa_devsecops_longitudinal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longitudinal study evaluating REFA: a prescriptive DevOps lifecycle to achieve continuous IEC 62443-4-1 security compliance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the REFA prescriptive DevOps lifecycle (clause-level pass/fail rules, automated evidence pipelines, CI gates, and role-tailored training) increases the proportion of IEC 62443-4-1 clauses with automated verification per team by at least 10 percentage points within 12 months versus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integrates security into DevOps (DevSecOps) by adding automated scans, software composition analysis (SCA), and policy-as-code. Standards-based approaches use IEC 62443 and similar frameworks to define security requirements. Tool-level advances include SBOMs (software bills of materials), signing tools (cosign), provenance systems (in-toto), vulnerability scanners (Trivy), and transparency logs (Rekor). Prior studies emphasize continuous security and cross-functional teams but lack: (1) a reproducible clause-level operationalization that maps lifecycle stages to specific clause IDs and testable acceptance criteria; (2) an evidence schema and CI gating defaults aligned to IEC 62443 clauses; (3) longitudinal, causal evaluations across multiple organizations testing both technical automation and human knowledge transfer together; and (4) validated calibration of composite evidence scores and sensitivity analyses for CI thresholds. These gaps limit readiness for audits, transfer to non-security staff, and empirical claims about impact on compliance and developer workflows.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Industrial control systems and other critical infrastructures need DevOps practices adapted to meet formal security regulations. This study evaluates REFA, a prescriptive DevOps lifecycle that maps DevOps stages to IEC 62443-4-1 clause IDs and operationalizes clause-level acceptance criteria, minimal evidence schemas, CI gating, and role-specific knowledge transfer. REFA produces machine-readable artifacts (evidence JSON, SBOMs, provenance attestations), CI templates (online and air-gapped), and training modules for cross-functional teams. We will run a multi-organization longitudinal experiment using a stepped-wedge rollout to measure automated verification coverage, evidence completeness, and time-to-remediate. Main contributions are: (1) a reproducible clause-to-lifecycle mapping and pass/fail templates; (2) portable CI and air-gapped artifact patterns; and (3) an empirical evaluation plan with pre-specified endpoints and sensitivity analyses. Expected outcomes include measurable increases in continuous compliance automation, reduced remediation times, and reusable artifacts and datasets for audit and research use.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Clause mapping: create a table that maps each REFA lifecycle stage (plan, build, test, release, operate) to specific IEC 62443-4-1 clause IDs. For each clause define: type = {Binary, Probabilistic}, precise pass rule, and required artefact types. Example: Clause X (SBOM) — Binary — pass if CycloneDX SBOM present, signed, and non-empty. 2) Minimal evidence schema: use a JSON record per artefact with fields: org_pseudonym, team_id, release_id, clause_id, artefact_type, artefact_uri, artefact_hash, signer_key_id, signature_timestamp, automated_check (bool), check_result {pass|fail|warn}, verifier_tool, verification_timestamp, check_log_uri. Explain terms: SBOM = list of components in a build; in-toto = provenance statements showing who built what. 3) CI templates: implement online CI (GitHub Actions/GitLab) including Semgrep (static analysis), Trivy (SCA/vuln scan), CycloneDX SBOM generation, cosign signing, in-toto attestations, and OPA/Rego gates mapping checks to clause IDs. Provide air-gapped variant that produces a signed artefact bundle and uses HSM or USB-token signing and a secure transfer node runbook. 4) Evidence scoring: compute evidence_completeness as weighted sum [example weights: SBOM 0.30, signature 0.25, provenance 0.15, test reports 0.15, build log 0.10]. Calibrate weights via a small pilot: collect 30–50 release bundles and elicit anchor vignettes or use empirical item-response to update weights. 5) Knowledge transfer: deliver micro-trainings, role checklists, and co-design sessions with teams to embed practices. 6) Data collection: collect release bundles and telemetry with pseudonymized org/team IDs, redact device identifiers, encrypt raw artefacts, and retain baseline 3 months before intervention. 7) Analysis plan: pre-specify primary outcome (automated_coverage) and mixed-effects longitudinal models; run power simulations and sensitivity sweeps of CI thresholds before full rollout.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Release bundles and CI telemetry collected from ≥20 teams across 8–12 organizations over 12 months, with ≥3 months pre-intervention baseline. Each release bundle includes CycloneDX SBOM JSON, cosign signatures, in-toto attestations, build logs, and vulnerability scan outputs (Trivy JSON). Baselines: teams' existing DevSecOps pipelines without REFA artifacts. Metrics: primary = automated_coverage = proportion of mapped IEC clauses with automated verification per release. Secondary = evidence_completeness (0–1 weighted), median time_to_remediate (TTR) in days, deployment_frequency, SBOM_component_recall (fraction of runtime components listed), number_of_audit_nonconformances, developer_satisfaction (SUS score), and vulnerability_escape_incidents (binary per release). Experimental setup: stepped-wedge cluster rollout randomizing clusters (teams) to cross from baseline to REFA in waves. Analysis: primary estimation via mixed-effects longitudinal model with team nested in organization and calendar time fixed effects; report ITT effect and 95% CI. Sensitivity: difference-in-differences (DiD) and synthetic-control as fallbacks. Multiplicity: Benjamini–Hochberg FDR for secondary endpoints. Power and sample: run simulation grid using defaults (baseline automated_coverage=0.40, within-team SD=0.15, ICC={0.05,0.10,0.20}, attrition={10%,15%}); target detectability = 10–15 percentage points at 80% power. Ablations: (A) REFA full vs REFA without knowledge-transfer (no trainings); (B) REFA online-only vs REFA with air-gapped/HSM support; (C) evidence_score weighting schemes (default vs equal weights) and CI gate thresholds (critical CVE = any vs CVSS≥9). Evaluation procedure: compute per-release metrics, fit pre-specified models, run placebo/time-trend diagnostics, and report false positive/negative rates of automated checks on a labeled validation set of 30–50 releases.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Technical false positives/negatives: automated checks may misclassify artefacts; gating may block valid releases or miss violations. 2) Definition risk: disagreement on clause mapping and weights can bias metrics. 3) Data missingness: telemetry gaps, redaction requirements, or lost artefacts can reduce power and bias estimates. 4) Small sample/ICC: fewer than 20 teams or high intra-class correlation (&gt;0.20) will reduce ability to detect effects. 5) Spillovers and interference: teams may share practices, violating independence. 6) Safety and ethics: red-team or pipeline integrity tests in air-gapped ICS may risk operations and need special approvals. 7) Cost and procurement: HSMs, auditor time, and engineering effort may be expensive and delay deployment. 8) Generalization: results from ICS/critical-infrastructure pilots may not transfer to other domains. 9) Human factors: developer resistance or increased lead_time may reduce adoption. 10) Measurement bias: self-reported satisfaction and some qualitative measures may be subjective.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