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frequency_filtered_metadescriptor</w:t>
      </w:r>
    </w:p>
    <w:p>
      <w:r>
        <w:t xml:space="preserve"> </w:t>
      </w:r>
    </w:p>
    <w:p>
      <w:pPr>
        <w:pStyle w:val="Heading2"/>
      </w:pPr>
      <w:r>
        <w:t>Title</w:t>
      </w:r>
    </w:p>
    <w:p>
      <w:r>
        <w:t>Frequency-filtering metadescriptors for concept identification and visualization in nonstationary data streams</w:t>
      </w:r>
    </w:p>
    <w:p>
      <w:r>
        <w:t xml:space="preserve"> </w:t>
      </w:r>
    </w:p>
    <w:p>
      <w:pPr>
        <w:pStyle w:val="Heading2"/>
      </w:pPr>
      <w:r>
        <w:t>Short Hypothesis</w:t>
      </w:r>
    </w:p>
    <w:p>
      <w:r>
        <w:t>Variance-filtered frequency components aggregated into low-dimensional metadescriptors enable more accurate and faster identification and clustering of evolving concepts in nonstationary data streams than equivalent methods using raw time-domain features or unfiltered spectral features.</w:t>
      </w:r>
    </w:p>
    <w:p>
      <w:r>
        <w:t xml:space="preserve"> </w:t>
      </w:r>
    </w:p>
    <w:p>
      <w:pPr>
        <w:pStyle w:val="Heading2"/>
      </w:pPr>
      <w:r>
        <w:t>Related Work</w:t>
      </w:r>
    </w:p>
    <w:p>
      <w:r>
        <w:t>Existing approaches address nonstationary streams via drift detectors (ADWIN, DDM), sliding-window feature summaries, streaming clustering (DenStream, CluStream), streaming dimensionality reduction (incremental PCA, Frequent Directions), and time-frequency analysis (STFT, wavelets) for offline signals. Prior methods typically: 1) operate on time-domain features or on full-spectrum transforms without online band selection, which increases noise and dimensionality; 2) apply static feature selection or batch methods that do not adapt to evolving frequency informativeness; 3) ignore selective phase handling required for prototype reconstruction; and 4) lack integrated statistical control for online multiple testing (online-FDR) under temporal dependence. These limitations produce weaker clustering purity, higher false alarm rates, poor prototype interpretability, and poor scaling to high-dimensional streams.</w:t>
      </w:r>
    </w:p>
    <w:p>
      <w:r>
        <w:t xml:space="preserve"> </w:t>
      </w:r>
    </w:p>
    <w:p>
      <w:pPr>
        <w:pStyle w:val="Heading2"/>
      </w:pPr>
      <w:r>
        <w:t>Abstract</w:t>
      </w:r>
    </w:p>
    <w:p>
      <w:r>
        <w:t>We present a streaming method that characterizes nonstationary data streams in the frequency domain by selecting informative frequency bands from sample feature vectors, compressing them into metadescriptors, and reconstructing spatial-domain prototypes for concept interpretation. The pipeline computes per-band energy (magnitude) across sliding windows, tracks variance with an exponential weighted moving average (EWMA), standardizes per-band statistics, and uses online FDR-aware selection with a top-B budget to keep the most informative bands. Selected bands feed an online encoder (incremental PCA or shallow autoencoder) to produce compact metadescriptors for incremental clustering. Prototype reconstruction uses inverse transforms on retained bands and preserves phase selectively when visual fidelity degrades. The main contributions are (1) a principled online band-selection rule combining EWMA variance and online-FDR, (2) a metadescriptor encoder+clustering design that separates concepts under drift, and (3) a reconstruction scheme that links frequency selections back to human-interpretable prototypes. We expect improved clustering accuracy, controlled false discoveries, and meaningful prototype visualizations under common drift types.</w:t>
      </w:r>
    </w:p>
    <w:p>
      <w:r>
        <w:t xml:space="preserve"> </w:t>
      </w:r>
    </w:p>
    <w:p>
      <w:pPr>
        <w:pStyle w:val="Heading2"/>
      </w:pPr>
      <w:r>
        <w:t>Methodology</w:t>
      </w:r>
    </w:p>
    <w:p>
      <w:r>
        <w:t>Overview: Process streaming batches of feature vectors. For each batch: compute a per-feature time-frequency transform, score bands by variance, select bands online, encode the selected-band spectra into a low-dimensional metadescriptor, cluster metadescriptors incrementally, and optionally reconstruct spatial prototypes.</w:t>
        <w:br/>
        <w:t>Steps:</w:t>
        <w:br/>
        <w:t>1) Windowing and transform: collect a batch of n samples per feature and apply a short-time Fourier transform (STFT) or discrete wavelet transform per feature. STFT produces complex coefficients per frequency band; magnitude = energy. (STFT: a method that turns a time signal into frequency components for short windows.)</w:t>
        <w:br/>
        <w:t>2) Band energy &amp; EWMA tracking: for each band b compute batch energy v_t(b) (e.g., mean squared magnitude across samples and features). Maintain EWMA mean μ_t(b) and second moment S_t(b) with forgetting α to estimate running std σ_t(b). Default W=512 samples per window, overlap 50%, EWMA α=0.1.</w:t>
        <w:br/>
        <w:t>3) Standardize and calibrate: compute z_t(b) = (v_t(b) - μ_t(b)) / σ_t(b). If Gaussian assumptions are acceptable use p_t(b)=1-Φ(z). If dependence or heavy tails are present, compute nonparametric nulls by block-bootstrap or circular-shift permutations to convert z to calibrated p-values. (Block-bootstrap: resample contiguous blocks to respect time dependence.)</w:t>
        <w:br/>
        <w:t>4) Online-FDR band selection: feed p_t(b) to an online FDR controller (LORD++ or SAFFRON) that yields per-band discovery thresholds α_t(b). Keep bands where p_t(b) &lt; α_t(b). Enforce a memory budget B by retaining the top-B bands ranked by |z_t(b)| if more bands pass. Default B=10.</w:t>
        <w:br/>
        <w:t>5) Multivariate handling and sketching: for large d, first apply a random projection or CountSketch to reduce features to p dimensions (p in 32–128). Then compute transforms on the reduced set or group features and maintain per-group budgets.</w:t>
        <w:br/>
        <w:t>6) Encoder and metadescriptor: reduce selected-band magnitudes (and phase if retained) using online PCA or a shallow online autoencoder to produce metadescriptors of size k (k in 16–64). (Online PCA: incremental update of principal components.)</w:t>
        <w:br/>
        <w:t>7) Clustering: use DenStream-like microclusters with EWMA-weighted prototype updates and decay λ aligned with the EWMA timescale. Maintain cluster prototypes and counts. When clusters stabilize, store their historical band-set union for reconstruction.</w:t>
        <w:br/>
        <w:t>8) Prototype reconstruction: invert STFT/wavelet using only retained bands; preserve phase if reconstruction SSIM loss exceeds Δ_ssim (default 0.05). For phase compression, quantize to 8–12 bits and/or keep a low-rank phase basis via SVD on recent complex coefficients.</w:t>
        <w:br/>
        <w:t>Hyperparameters and defaults: W=512, overlap 50%, α=0.1, β (alpha spending) = 0.005, B=10, encoder k=32. Explainable terms: EWMA is a running average that weights recent batches more; SSIM is a perceptual similarity score for images or signals.</w:t>
      </w:r>
    </w:p>
    <w:p>
      <w:r>
        <w:t xml:space="preserve"> </w:t>
      </w:r>
    </w:p>
    <w:p>
      <w:pPr>
        <w:pStyle w:val="Heading2"/>
      </w:pPr>
      <w:r>
        <w:t>Experiments</w:t>
      </w:r>
    </w:p>
    <w:p>
      <w:r>
        <w:t>Objective: Test whether variance-filtered frequency metadescriptors improve concept clustering accuracy and detection latency while controlling false discoveries.</w:t>
        <w:br/>
        <w:t>Datasets:</w:t>
        <w:br/>
        <w:t>- Synthetic generator: seedable streams with labeled concepts and controlled drift types (sudden, gradual, recurring). Each concept defined by specific band templates and spatial prototypes.</w:t>
        <w:br/>
        <w:t>- Rotating/Permuted MNIST time splits (treat image rows as pseudo-features or apply small translations to create frequency changes).</w:t>
        <w:br/>
        <w:t>- CIFAR-10-C temporal splits using sequential corruption schedules.</w:t>
        <w:br/>
        <w:t xml:space="preserve">- UCI Electricity or multivariate sensor datasets with temporal nonstationarity. </w:t>
        <w:br/>
        <w:t>Baselines:</w:t>
        <w:br/>
        <w:t>- Raw time-domain DenStream clustering on original features.</w:t>
        <w:br/>
        <w:t>- Full-spectrum STFT + online PCA + DenStream (no band selection).</w:t>
        <w:br/>
        <w:t>- Sliding-window PCA + clustering.</w:t>
        <w:br/>
        <w:t>- Standard drift detectors (ADWIN, DDM) combined with clustering.</w:t>
        <w:br/>
        <w:t>Ablations:</w:t>
        <w:br/>
        <w:t>- Variance-based selection vs mutual information (Kraskov MI) vs spectral entropy/KL selection.</w:t>
        <w:br/>
        <w:t>- Magnitude-only metadescriptors vs magnitude+phase with phase quantization (12, 8, 4 bits).</w:t>
        <w:br/>
        <w:t>- Top-B budgets B in {5,10,20} and encoder sizes k in {16,32,64}.</w:t>
        <w:br/>
        <w:t>Metrics:</w:t>
        <w:br/>
        <w:t>- Clustering: Adjusted Rand Index (ARI), Normalized Mutual Information (NMI), purity.</w:t>
        <w:br/>
        <w:t>- Drift detection: detection latency (median and 90th percentile), true positive rate, false discovery proportion (empirical FDP using permutations).</w:t>
        <w:br/>
        <w:t>- Reconstruction: SSIM and MSE between reconstructed prototypes and true prototypes.</w:t>
        <w:br/>
        <w:t>- Runtime and memory: per-batch latency (p50, p95), bytes per metadesc, peak RSS. Report results averaged over 10 random seeds with 95% bootstrap confidence intervals.</w:t>
        <w:br/>
        <w:t>Experimental setup:</w:t>
        <w:br/>
        <w:t>- Window W=512, 50% overlap, batch size set by dataset cadence. Run each method for each dataset and drift schedule. Use seeded random seeds and fixed hyperparameter grid. Hardware: single-socket CPU (e.g., 8-core Xeon) and a commodity GPU (e.g., NVIDIA GTX/RTX class). Record CPU/GPU time with standard profilers. Reproducibility: publish seeds, configs, and scripts.</w:t>
        <w:br/>
        <w:t>Success criteria: statistically significant ARI/NMI improvement over baselines (bootstrap CI not overlapping) and controlled FDP ≤ nominal level for online-FDR methods.</w:t>
        <w:br/>
        <w:t>Deliverables: tables of metrics, ablation plots over B and k, runtime scaling plots, and example prototype reconstructions.</w:t>
      </w:r>
    </w:p>
    <w:p>
      <w:r>
        <w:t xml:space="preserve"> </w:t>
      </w:r>
    </w:p>
    <w:p>
      <w:pPr>
        <w:pStyle w:val="Heading2"/>
      </w:pPr>
      <w:r>
        <w:t>Risk Factors And Limitations</w:t>
      </w:r>
    </w:p>
    <w:p>
      <w:r>
        <w:t>1) Temporal dependence and heavy tails: parametric p-values (Gaussian z→p) may be invalid under strong autocorrelation or heavy tails, causing inflated false discoveries. 2) Small batches: when batch size n is very small, variance estimates are noisy and selection power falls. 3) Nonstationarity within batches: if concept changes inside a batch window, per-batch statistics mix concepts and reduce selection accuracy. 4) Adversarial or transient spikes: short-lived spikes can cause false band retention if not filtered. 5) Phase sensitivity: some domains require phase; dropping phase may harm reconstruction or downstream tasks. 6) Memory and compute limits: high feature dimension d or large window W increases FFT cost and memory, making real-time guarantees hard on limited hardware. 7) Label dependence: diagnostics that use labels (ANOVA, MI with labels) are not applicable in unsupervised deployments. 8) Cluster instability: evolving band sets can make prototype merging/splitting unstable and complicate long-term tracking of concept IDs. 9) Synthetic-to-real gap: tuned hyperparameters on synthetic drifts may not transfer to complex real-world nonstationarity patterns. 10) Theoretical limits: online-FDR guarantees assume certain independence or calibration; feeding block-permutation calibrated p-values into online controllers introduces bias that affects formal guarantees.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