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sim_to_real_coda_byol_dann_mcc</w:t>
      </w:r>
    </w:p>
    <w:p>
      <w:r>
        <w:t xml:space="preserve"> </w:t>
      </w:r>
    </w:p>
    <w:p>
      <w:pPr>
        <w:pStyle w:val="Heading2"/>
      </w:pPr>
      <w:r>
        <w:t>Title</w:t>
      </w:r>
    </w:p>
    <w:p>
      <w:r>
        <w:t>A self-supervised domain adaptation framework combining BYOL, domain adversarial training, and minimum class confusion for concrete damage classification from synthetic and experimental coda-wave data</w:t>
      </w:r>
    </w:p>
    <w:p>
      <w:r>
        <w:t xml:space="preserve"> </w:t>
      </w:r>
    </w:p>
    <w:p>
      <w:pPr>
        <w:pStyle w:val="Heading2"/>
      </w:pPr>
      <w:r>
        <w:t>Short Hypothesis</w:t>
      </w:r>
    </w:p>
    <w:p>
      <w:r>
        <w:t>Pretraining an encoder on large-scale synthetic coda-wave signals using BYOL, then jointly adapting with domain adversarial training (DANN) and minimum class confusion (MCC) while supervising only on synthetic labels will produce higher balanced accuracy on unlabeled experimental concrete damage classification than models trained on synthetic data without self-supervised pretraining and joint domain adaptation.</w:t>
      </w:r>
    </w:p>
    <w:p>
      <w:r>
        <w:t xml:space="preserve"> </w:t>
      </w:r>
    </w:p>
    <w:p>
      <w:pPr>
        <w:pStyle w:val="Heading2"/>
      </w:pPr>
      <w:r>
        <w:t>Related Work</w:t>
      </w:r>
    </w:p>
    <w:p>
      <w:r>
        <w:t>Existing methods for concrete damage classification use supervised learning on experimental data, transfer learning from related tasks, physics-based ultrasonic simulation, or domain adaptation methods such as adversarial alignment. Self-supervised representation learning methods (e.g., contrastive or bootstrap methods) have been applied in other sensor domains to improve robustness. Limitations remain: (1) supervised approaches need many labeled experimental recordings, (2) naive domain adaptation can suffer label collapse or poor class separation when synthetic physics do not match experimental conditions, (3) prior sim-to-real work often lacks rigorous surrogate acceptance criteria and physics-level fidelity checks, and (4) many pipelines do not combine strong self-supervision (to avoid collapse) with explicit class-confusion minimization while preserving physics consistency.</w:t>
      </w:r>
    </w:p>
    <w:p>
      <w:r>
        <w:t xml:space="preserve"> </w:t>
      </w:r>
    </w:p>
    <w:p>
      <w:pPr>
        <w:pStyle w:val="Heading2"/>
      </w:pPr>
      <w:r>
        <w:t>Abstract</w:t>
      </w:r>
    </w:p>
    <w:p>
      <w:r>
        <w:t>We address reliable concrete damage classification from experimental coda-wave ultrasonic recordings while minimizing reliance on labeled real data. We propose a simulation-driven, self-supervised domain adaptation pipeline: generate a large labeled synthetic corpus via multiscale ultrasonic simulations and trained neural surrogates, pretrain an encoder with BYOL (a self-supervised bootstrap method), then perform joint training that combines domain adversarial learning (DANN) to align domains and minimum class confusion (MCC) to preserve class separability, while supervising only on synthetic labels. The main contribution is an end-to-end protocol that integrates high-fidelity simulation anchors, surrogate generation, explicit sim–real gating (feature MMD and coda cross-correlation), and a prespecified training curriculum and loss schedules. Expected outcome: substantially improved transfer of damage-class information to unlabeled experimental data, measured by balanced accuracy, calibration, and reduced domain discrepancy, enabling more reliable structural health monitoring with limited experimental labeling.</w:t>
      </w:r>
    </w:p>
    <w:p>
      <w:r>
        <w:t xml:space="preserve"> </w:t>
      </w:r>
    </w:p>
    <w:p>
      <w:pPr>
        <w:pStyle w:val="Heading2"/>
      </w:pPr>
      <w:r>
        <w:t>Methodology</w:t>
      </w:r>
    </w:p>
    <w:p>
      <w:r>
        <w:t>1) Synthetic data generation: run high-fidelity ultrasonic simulations for five damage classes (healthy, diffuse microcracking, single macrocrack, interfacial debonding, increased porosity). Produce anchor HF variants and train a neural surrogate (neural operator) to synthesize the remaining corpus. 2) Data augmentation: apply attenuation scaling, scattering multipliers, SNR variation, transducer misalignment, bandwidth roll-off, and semi-synthetic blending (convolution with recorded impulse/noise). 3) Pretraining with BYOL: initialize encoder + projector + predictor; pretrain 200 epochs on a mixed batch (synthetic:semi-synthetic:real = 0.75:0.15:0.10). BYOL EMA alpha (tau) linearly ramp 0.99→0.999 during pretrain. BYOL explains: BYOL trains a network to predict a target network's representation; the target is an exponential moving average of the online network. 4) Joint training: train encoder, classifier, and domain discriminator for 100 epochs. Loss = L_sup (synthetic supervised) + L_byol (online bootstrap) + L_adv (domain adversarial via GRL) + L_mcc (minimum class confusion) + L_phys (physics regularizer). Initial weights: L_sup=1.0, L_byol=0.5, L_adv=0.5, L_mcc=0.2, L_phys=0.1. GRL lambda ramps 0→1 over first 30 epochs; ramp L_mcc 0→0.2 starting epoch 20. Use AdamW, encoder lr=1e-3 with cosine decay; classifier lr=encoder_lr/10. 5) Normalization and batching: use domain-specific BatchNorm (separate running stats) and fallback to GroupNorm/InstanceNorm for small per-domain batches. 6) Surrogate and sim–real gating: compute feature MMD (RBF multi-bandwidth) and normalized coda cross-correlation; accept synthetic batches when MMD ≤0.05 and mean coda cross-corr ≥0.85. 7) Logging and reproducibility: version datasets with DVC, track experiments in MLflow, fixed seeds, and containerized pipelines.</w:t>
      </w:r>
    </w:p>
    <w:p>
      <w:r>
        <w:t xml:space="preserve"> </w:t>
      </w:r>
    </w:p>
    <w:p>
      <w:pPr>
        <w:pStyle w:val="Heading2"/>
      </w:pPr>
      <w:r>
        <w:t>Experiments</w:t>
      </w:r>
    </w:p>
    <w:p>
      <w:r>
        <w:t>Datasets: Synthetic corpus = 25,000 signals (5,000 per class). Experimental corpus = 1,500 unlabeled signals (300 per class), plus a held-out experimental test set with CT-validated labels (≥2–6 specimens/class). Splits: synthetic 80/20 train/val; experimental unlabeled used only for adaptation; held-out experimental test used only for final evaluation. Baselines: (A) supervised on synthetic only, (B) BYOL pretrain + supervised synthetic (no adaptation), (C) DANN (supervised synthetic + adversarial alignment), (D) MCC alone, (E) BYOL + DANN, (F) full method (BYOL + DANN + MCC + physics regularizer). Metrics: balanced accuracy, macro F1, false negative rate (FNR), expected calibration error (ECE), feature MMD, Earth Mover's Distance (EMD) on features, normalized coda cross-correlation, waveform L2 error, spectral error (relative frequency-domain error), conformal coverage, and inference latency. Setup: BYOL pretrain 200 epochs (batch size aggregated 256), joint training 100 epochs. Batch mixing anneal synthetic:real from 0.8:0.2 to 0.5:0.5 over first 40 epochs. Random seeds: run each experiment with 5 seeds. Ablation: remove each component separately (BYOL off, DANN off, MCC off, physics reg off) and compare to full model using paired statistical tests (paired McNemar for binary decisions, permutation tests for score differences) with Benjamini–Hochberg correction and 95% bootstrap CIs (1,000 resamples). Surrogate tests: validate surrogate on HF holdouts with waveform L2 &lt;5%, feature MMD ≤0.02, task-transfer Δbalanced accuracy ≤0.05, and ΔECE ≤0.03 before large-scale synthesis. Stop criteria: stable validation balanced accuracy plateau over 10 epochs or failure of sim–real gating thresholds.</w:t>
      </w:r>
    </w:p>
    <w:p>
      <w:r>
        <w:t xml:space="preserve"> </w:t>
      </w:r>
    </w:p>
    <w:p>
      <w:pPr>
        <w:pStyle w:val="Heading2"/>
      </w:pPr>
      <w:r>
        <w:t>Risk Factors And Limitations</w:t>
      </w:r>
    </w:p>
    <w:p>
      <w:r>
        <w:t>1) Simulator mismatch: high-fidelity models may not capture critical experimental physics, causing domain gap that adaptation cannot close. 2) Surrogate error: neural surrogate biases may produce unrealistic waveforms even if L2 is low. 3) Label and class-shift: real damage severity may lie on a continuum, causing class ambiguity not captured by discrete synthetic labels. 4) Representation collapse: self-supervised pretraining can collapse representations if augmentations or schedules are poor. 5) Limited experimental diversity: 1,500 recordings may be insufficient for rare damage modes or large environmental variation. 6) Compute cost: high-fidelity sims and HPO are expensive and may limit reproducibility. 7) OOD generalization: method may fail on unseen crack geometries, sensors, or extreme environmental states. 8) Calibration and UQ limits: conformal or ensemble methods may not guarantee correct per-case uncertainty under heavy domain shift. 9) Deployment constraints: model compression and edge latency targets may reduce accuracy relative to desktop benchmarks.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