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reflex_htm_cam</w:t>
      </w:r>
    </w:p>
    <w:p>
      <w:r>
        <w:t xml:space="preserve"> </w:t>
      </w:r>
    </w:p>
    <w:p>
      <w:pPr>
        <w:pStyle w:val="Heading2"/>
      </w:pPr>
      <w:r>
        <w:t>Title</w:t>
      </w:r>
    </w:p>
    <w:p>
      <w:r>
        <w:t>Hardware‑accelerated reflex memory integrated with Hierarchical Temporal Memory for efficient first‑order sequence inference in IoT streams</w:t>
      </w:r>
    </w:p>
    <w:p>
      <w:r>
        <w:t xml:space="preserve"> </w:t>
      </w:r>
    </w:p>
    <w:p>
      <w:pPr>
        <w:pStyle w:val="Heading2"/>
      </w:pPr>
      <w:r>
        <w:t>Short Hypothesis</w:t>
      </w:r>
    </w:p>
    <w:p>
      <w:r>
        <w:t>Injecting a spinal‑cord‑inspired reflex memory block that returns validated first‑order predictions when confidence and low entropy conditions hold will reduce latency and energy per inference and improve first‑order precision without reducing multiorder recall beyond 15% on repetitive IoT data.</w:t>
      </w:r>
    </w:p>
    <w:p>
      <w:r>
        <w:t xml:space="preserve"> </w:t>
      </w:r>
    </w:p>
    <w:p>
      <w:pPr>
        <w:pStyle w:val="Heading2"/>
      </w:pPr>
      <w:r>
        <w:t>Related Work</w:t>
      </w:r>
    </w:p>
    <w:p>
      <w:r>
        <w:t>Existing sequence learning approaches include Hierarchical Temporal Memory (HTM) for unsupervised sequence memory, recurrent neural networks (RNNs and LSTMs) for learned temporal dependencies, first‑order Markov or table lookup methods for short transitions, and hardware accelerators using content‑addressable memory (CAM) and Bloom filters to speed key‑based lookups. HTM supports multiorder temporal predictions but is costly at scale for highly repetitive, first‑order-dominated IoT streams because its temporal memory must evaluate many candidate transitions and maintain large programmable interconnects. RNNs offer high accuracy but require supervised training, higher energy, and less interpretability for edge devices. Simple Markov tables are fast but do not support multiorder inference and scale poorly with large alphabets. Hardware CAM/Bloom solutions can accelerate lookups but prior work lacks integrated gating policies that preserve HTM multiorder capacity, formal per‑operation algorithms (insert/lookup/decay/evict), quantitative collision/capacity analyses for signature widths, and concrete FPGA resource accounting for practical deployment.</w:t>
      </w:r>
    </w:p>
    <w:p>
      <w:r>
        <w:t xml:space="preserve"> </w:t>
      </w:r>
    </w:p>
    <w:p>
      <w:pPr>
        <w:pStyle w:val="Heading2"/>
      </w:pPr>
      <w:r>
        <w:t>Abstract</w:t>
      </w:r>
    </w:p>
    <w:p>
      <w:r>
        <w:t>IoT edge streams often contain many repetitive, first‑order temporal relationships that dominate short‑term prediction needs but co‑exist with rarer multiorder patterns that require hierarchical sequence memory. We propose integrating a reflex memory (RM) block—inspired by spinal reflex circuits—into the Hierarchical Temporal Memory (HTM) pipeline and accelerating RM with a hardware CAM plus Bloom‑filter front end. RM caches validated first‑order transitions and is gated by a confidence/entropy rule so it only issues reflex predictions when reliability is high; otherwise HTM multiorder inference proceeds unchanged. The main contributions are (1) a formal RM↔HTM algorithm and state machine for insert, lookup, validate, decay, and eviction; (2) a hardware-friendly RM design using 64/128‑bit signatures, per‑entry counters, refractory timers, Bloom filters for bank pruning, and CAM for O(1) key lookup; and (3) a reproducible experimental plan to quantify latency, energy, precision@K, and multiorder interference on synthetic and real IoT traces. Expected outcome: significant latency and energy reductions for first‑order patterns while maintaining HTM multiorder capabilities within defined degradation bounds.</w:t>
      </w:r>
    </w:p>
    <w:p>
      <w:r>
        <w:t xml:space="preserve"> </w:t>
      </w:r>
    </w:p>
    <w:p>
      <w:pPr>
        <w:pStyle w:val="Heading2"/>
      </w:pPr>
      <w:r>
        <w:t>Methodology</w:t>
      </w:r>
    </w:p>
    <w:p>
      <w:r>
        <w:t>Overview:</w:t>
        <w:br/>
        <w:t>- Place RM between the spatial pooler output and the temporal memory prediction step in HTM: after encoding an input into an SDR (sparse distributed representation) and before HTM generates multiorder predictions. RM answers fast first‑order queries; HTM remains the canonical multiorder learner.</w:t>
        <w:br/>
        <w:t>- RM components (simple terms):</w:t>
        <w:br/>
        <w:t xml:space="preserve">  - signature: compact hash of the SDR (64 or 128 bits). Hash = function(SDR) producing a fixed-width key.</w:t>
        <w:br/>
        <w:t xml:space="preserve">  - CAM bank(s): array of entries keyed by signature that store a pointer to the full SDR (for validation), an 8‑bit saturating counter, and a 6‑bit refractory timer.</w:t>
        <w:br/>
        <w:t xml:space="preserve">  - Bloom front end: small bit arrays per bank to quickly rule out banks without possible entries.</w:t>
        <w:br/>
        <w:t xml:space="preserve">  - gating logic: computes p_top and entropy H over top K candidates and a reflex weight w = clamp(1 − H/H0,0,1)·p_top. RM issues a reflex only if p_top ≥ θ_conf and w ≥ w_min.</w:t>
        <w:br/>
        <w:t>Pseudocode (stateful, simplified):</w:t>
        <w:br/>
        <w:t>- insert(signature, SDR):</w:t>
        <w:br/>
        <w:t xml:space="preserve">    bank_list = bloom_query_all(signature)</w:t>
        <w:br/>
        <w:t xml:space="preserve">    if not bank_list: choose bank by hash_mod and allocate entry</w:t>
        <w:br/>
        <w:t xml:space="preserve">    if entry.key != signature: evict_if_needed(entry)</w:t>
        <w:br/>
        <w:t xml:space="preserve">    entry.SDR_ptr = store_SDR(SDR)</w:t>
        <w:br/>
        <w:t xml:space="preserve">    entry.counter = min(255, entry.counter + 1)</w:t>
        <w:br/>
        <w:t xml:space="preserve">    entry.refractory = R_default</w:t>
        <w:br/>
        <w:t xml:space="preserve">    journal_append({op:IN, key:signature, delta:1})</w:t>
        <w:br/>
        <w:t>- lookup(signature):</w:t>
        <w:br/>
        <w:t xml:space="preserve">    banks = bloom_query_all(signature)</w:t>
        <w:br/>
        <w:t xml:space="preserve">    candidates = CAM_lookup_parallel(banks, signature)  # returns up to K entries</w:t>
        <w:br/>
        <w:t xml:space="preserve">    validated = []</w:t>
        <w:br/>
        <w:t xml:space="preserve">    for c in candidates:</w:t>
        <w:br/>
        <w:t xml:space="preserve">      sdr = read_SDR(c.SDR_ptr)</w:t>
        <w:br/>
        <w:t xml:space="preserve">      ham = hamming_distance(sdr, query_SDR)</w:t>
        <w:br/>
        <w:t xml:space="preserve">      if ham &lt;= T_ham: validated.append((c, ham))</w:t>
        <w:br/>
        <w:t xml:space="preserve">    sort validated by counter or combined score</w:t>
        <w:br/>
        <w:t xml:space="preserve">    return top_K_validated</w:t>
        <w:br/>
        <w:t>- decay_and_maintenance():  # run periodically</w:t>
        <w:br/>
        <w:t xml:space="preserve">    for entry in all_entries:</w:t>
        <w:br/>
        <w:t xml:space="preserve">      if entry.refractory &gt; 0: entry.refractory -= 1</w:t>
        <w:br/>
        <w:t xml:space="preserve">      entry.counter = floor(entry.counter * (1 - lambda))  # or right‑shift approx</w:t>
        <w:br/>
        <w:t xml:space="preserve">      if entry.counter == 0 and age &gt; eviction_age: reclaim(entry)</w:t>
        <w:br/>
        <w:t>- RM_integration_step(query_SDR):</w:t>
        <w:br/>
        <w:t xml:space="preserve">    sig = hash_fn(query_SDR)</w:t>
        <w:br/>
        <w:t xml:space="preserve">    candidates = lookup(sig)</w:t>
        <w:br/>
        <w:t xml:space="preserve">    if candidates.empty: return HTM_predict(query_SDR)</w:t>
        <w:br/>
        <w:t xml:space="preserve">    compute p_i ∝ exp(β·counter_i) over candidates</w:t>
        <w:br/>
        <w:t xml:space="preserve">    p_top = max p_i; H = -sum p_i log p_i; H0 = ln(K)</w:t>
        <w:br/>
        <w:t xml:space="preserve">    w = clamp(1 - H/H0,0,1) * p_top</w:t>
        <w:br/>
        <w:t xml:space="preserve">    if p_top &gt;= θ_conf and w &gt;= w_min:</w:t>
        <w:br/>
        <w:t xml:space="preserve">      return reflex_prediction = candidate_top.SDR_next  # first‑order next SDR</w:t>
        <w:br/>
        <w:t xml:space="preserve">    else:</w:t>
        <w:br/>
        <w:t xml:space="preserve">      with probability ε run HTM_only exploration</w:t>
        <w:br/>
        <w:t xml:space="preserve">      return HTM_predict(query_SDR)</w:t>
        <w:br/>
        <w:t>Complexity and memory accesses (per lookup):</w:t>
        <w:br/>
        <w:t>- Bloom probe: O(1) bit probes per bank (k hashes), parallel across B banks.</w:t>
        <w:br/>
        <w:t>- CAM key compare: O(B_checked) key comparisons (each 64/128 bit), done in parallel per bank; expected B_checked small due to bloom pruning.</w:t>
        <w:br/>
        <w:t>- SDR validation: read full SDR from BRAM and compute Hamming distance over s active bits—cost proportional to SDR density but implemented as popcount XOR hardware.</w:t>
        <w:br/>
        <w:t>- Insert: bloom set bits (k), CAM write (single bank), SDR write to BRAM, journal append to NV memory (batched).</w:t>
        <w:br/>
        <w:t>Definitions (simple):</w:t>
        <w:br/>
        <w:t>- SDR: sparse binary vector where few bits are 1; sparse means most bits are 0.</w:t>
        <w:br/>
        <w:t>- Hamming distance: number of differing bits between two SDRs; low distance means similar patterns.</w:t>
        <w:br/>
        <w:t>- Bloom filter: compact bit array that can say "definitely not" or "maybe" for membership; may produce false positives but no false negatives.</w:t>
        <w:br/>
        <w:t>Hardware notes (simple):</w:t>
        <w:br/>
        <w:t>- Use 64‑bit signatures by default; if simulated collision probability with target M is unacceptable, switch to 128 bits.</w:t>
        <w:br/>
        <w:t>- Counters, refractory timers and decay use small fixed widths and periodic maintenance to keep resource usage predictable.</w:t>
        <w:br/>
        <w:t>Integration specifics:</w:t>
        <w:br/>
        <w:t>- Insert RM seeds into HTM candidate list if gating allows; RM does not overwrite HTM weights but augments candidate proposals.</w:t>
        <w:br/>
        <w:t>- Journal writes are append‑only; persist infrequently (batched) to limit wear on flash devices.</w:t>
        <w:br/>
        <w:t>- All thresholds (θ_conf, λ, R, K, T_ham) are exposed for sweeps in experiments.</w:t>
      </w:r>
    </w:p>
    <w:p>
      <w:r>
        <w:t xml:space="preserve"> </w:t>
      </w:r>
    </w:p>
    <w:p>
      <w:pPr>
        <w:pStyle w:val="Heading2"/>
      </w:pPr>
      <w:r>
        <w:t>Experiments</w:t>
      </w:r>
    </w:p>
    <w:p>
      <w:r>
        <w:t>Datasets:</w:t>
        <w:br/>
        <w:t>- Synthetic generator (seedable): alphabet sizes A={32,128,512}, SDR size N={1024,2048}, sparsity s={20,40} active bits, repeat-rate r∈{0.2,0.6,0.9}, Zipf skew α∈{0.5,1.0,1.2}, noise bitflip p_noise∈{0,0.01,0.05}, drift cases (abrupt and gradual).</w:t>
        <w:br/>
        <w:t>- Real traces: Intel Lab sensor traces, UCI household power, ASHRAE building telemetry, and one vibration or categorical event trace if available.</w:t>
        <w:br/>
        <w:t>Baselines:</w:t>
        <w:br/>
        <w:t>- Baseline HTM (no RM), software RM+HTM (RM logic in software), H‑AHTM (hardware RM with CAM+Bloom), small LSTM (supervised but small capacity), KNN with caching, first‑order Markov table.</w:t>
        <w:br/>
        <w:t>Metrics (precise):</w:t>
        <w:br/>
        <w:t>- precision@K and recall@K for next‑step prediction (K=4), multiorder recall (orders 2–5), interference index I = (Recall_baseline − Recall_with_RM)/Recall_baseline, latency CDF (median, 95th, 99th) in cycles and µs, energy per inference (nJ), throughput (inf/s), CAM hit/miss rate, write/update rate, recovery time after drift measured in events to return to 90% baseline recall.</w:t>
        <w:br/>
        <w:t>Experimental setup:</w:t>
        <w:br/>
        <w:t>- Hardware: MCU class (128–256 KB RAM, 512 KB flash simulated), Raspberry Pi gateway, FPGA dev board (Zynq UltraScale+). Use same code seeds across devices.</w:t>
        <w:br/>
        <w:t>- Runs: at least 34 independent seeded runs per condition for power≈0.8 detecting medium effects. Report mean ±95% bootstrap CI.</w:t>
        <w:br/>
        <w:t>- Statistical tests: mixed‑effects models with dataset and hardware as random factors; Tukey or FDR correction for multiple comparisons; report effect sizes (Cohen’s d).</w:t>
        <w:br/>
        <w:t>Ablation and comparisons:</w:t>
        <w:br/>
        <w:t>- Ablation 1: RM disabled vs RM enabled (software) vs H‑AHTM hardware acceleration.</w:t>
        <w:br/>
        <w:t>- Ablation 2: gating on vs gating off vs increased ε exploration (0.01, 0.05, 0.1).</w:t>
        <w:br/>
        <w:t>- Ablation 3: signature width 64 vs 128 bits and simulate collision rates for M ∈{1k,10k,100k} entries; report empirical p_collision and choose width achieving p_collision ≤1e-9.</w:t>
        <w:br/>
        <w:t>- Ablation 4: Bloom parameters m={4096,8192}, k={3,4,6}, per‑bank n varied to show FPR curves.</w:t>
        <w:br/>
        <w:t>- Ablation 5: K candidates ∈{3,4,5}, counter decay λ ∈{0.001,0.01,0.05}.</w:t>
        <w:br/>
        <w:t>Collision and capacity study:</w:t>
        <w:br/>
        <w:t>- Run Monte Carlo simulation of hash collisions mapping SDR active bit patterns through chosen hash functions for M up to 100k entries and compute observed false match rates; compare to theoretical (birthday and per‑lookup) formulas and select key width.</w:t>
        <w:br/>
        <w:t>Resource and latency measurement:</w:t>
        <w:br/>
        <w:t>- Synthesize CAM+BRAM usage for baseline bank configs and report BRAM/URAM/LUT/FF counts; report per‑op cycle counts and measure energy using PMBus or shunt+DAQ. Provide median and 95th percentile latency and energy CDFs.</w:t>
        <w:br/>
        <w:t>Acceptance criteria (measurable):</w:t>
        <w:br/>
        <w:t>- First‑order precision improves ≥30% on repetitive traces while interference index I ≤0.15 and multiorder recall loss ≤15%; median latency reduction compared to HTM and energy per inference within targeted envelopes for device class.</w:t>
        <w:br/>
        <w:t>Reproducibility:</w:t>
        <w:br/>
        <w:t>- All experiments are seeded, containerized, and published with scripts to reproduce ROC/PR curves and acceptance tests.</w:t>
      </w:r>
    </w:p>
    <w:p>
      <w:r>
        <w:t xml:space="preserve"> </w:t>
      </w:r>
    </w:p>
    <w:p>
      <w:pPr>
        <w:pStyle w:val="Heading2"/>
      </w:pPr>
      <w:r>
        <w:t>Risk Factors And Limitations</w:t>
      </w:r>
    </w:p>
    <w:p>
      <w:r>
        <w:t>1) Hash collisions: 64‑bit signatures may yield nonzero collision rates as M grows; collisions produce false reflexes if validation thresholds are misset.</w:t>
        <w:br/>
        <w:t>2) Bloom filter scaling: per‑bank FPR rises if per‑bank n exceeds design, increasing unnecessary CAM lookups and energy.</w:t>
        <w:br/>
        <w:t>3) FPGA resource limits: BRAM/URAM and LUT budgets may be insufficient for desired SDR storage at large bank counts; external DRAM fallback increases latency.</w:t>
        <w:br/>
        <w:t>4) Write endurance: frequent persistence to flash can exceed flash write endurance; FRAM recommended but not always available.</w:t>
        <w:br/>
        <w:t>5) Write storms: adversarial or pathological workloads may produce high write/update rates causing energy spikes and wear.</w:t>
        <w:br/>
        <w:t>6) Interference with HTM: incorrect gating parameters can bias HTM learning, reducing multiorder recall beyond acceptable bounds.</w:t>
        <w:br/>
        <w:t>7) Energy/latency tradeoffs: achieving strict latency or energy budgets on MCU class devices may be infeasible without reducing RM capacity.</w:t>
        <w:br/>
        <w:t>8) Generalization limits: RM primarily benefits repetitive first‑order motifs; workloads dominated by rare or high‑order sequences may not benefit and could be harmed.</w:t>
        <w:br/>
        <w:t>9) Security threats: attackers can craft sequences to poison RM entries or trigger collisions and evictions; detection mechanisms are required but not part of RM core.</w:t>
        <w:br/>
        <w:t>10) Evaluation bias: synthetic generators and selected real traces may not capture all IoT modalities (audio, vibration) leading to over‑optimistic results for untested domains.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