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adapkooppc_mixed_traffic</w:t>
      </w:r>
    </w:p>
    <w:p>
      <w:r>
        <w:t xml:space="preserve"> </w:t>
      </w:r>
    </w:p>
    <w:p>
      <w:pPr>
        <w:pStyle w:val="Heading2"/>
      </w:pPr>
      <w:r>
        <w:t>Title</w:t>
      </w:r>
    </w:p>
    <w:p>
      <w:r>
        <w:t>Adaptive deep Koopman predictive control for mitigating traffic oscillations in mixed automated and human-driven vehicle flows</w:t>
      </w:r>
    </w:p>
    <w:p>
      <w:r>
        <w:t xml:space="preserve"> </w:t>
      </w:r>
    </w:p>
    <w:p>
      <w:pPr>
        <w:pStyle w:val="Heading2"/>
      </w:pPr>
      <w:r>
        <w:t>Short Hypothesis</w:t>
      </w:r>
    </w:p>
    <w:p>
      <w:r>
        <w:t>Embedding an adaptive deep Koopman linear representation of human-driven vehicle dynamics with a low-rank adapter into a model predictive controller will reduce platoon speed/spacing oscillation amplitude by at least 20% relative to a non-adaptive Koopman-MPC baseline in mixed traffic with up to 30% CAV penetration.</w:t>
      </w:r>
    </w:p>
    <w:p>
      <w:r>
        <w:t xml:space="preserve"> </w:t>
      </w:r>
    </w:p>
    <w:p>
      <w:pPr>
        <w:pStyle w:val="Heading2"/>
      </w:pPr>
      <w:r>
        <w:t>Related Work</w:t>
      </w:r>
    </w:p>
    <w:p>
      <w:r>
        <w:t>Existing approaches to mitigate traffic oscillations include model-based model predictive control (MPC) using hand-designed car-following models, data-driven controllers that directly learn control policies, and Koopman-based system identification that seeks linear embeddings of nonlinear vehicle dynamics. MPC approaches provide explicit constraint handling but rely on accurate models and often do not adapt rapidly to driver heterogeneity. Pure learning or policy methods adapt to data but lack formal stability guarantees and runtime safety certificates. Prior Koopman methods produce linear lifts but commonly assume a fixed operator, do not quantify epistemic uncertainty in learned operators, and can suffer from poor observability or large lifts that scale poorly. Robust MPC variants add conservatism to handle uncertainty but become overly restrictive for online adaptation. Observer designs used in prior work often assume Gaussian noise or fully measured states, limiting robustness to naturalistic measurement noise and partial observability.</w:t>
      </w:r>
    </w:p>
    <w:p>
      <w:r>
        <w:t xml:space="preserve"> </w:t>
      </w:r>
    </w:p>
    <w:p>
      <w:pPr>
        <w:pStyle w:val="Heading2"/>
      </w:pPr>
      <w:r>
        <w:t>Abstract</w:t>
      </w:r>
    </w:p>
    <w:p>
      <w:r>
        <w:t>Traffic oscillations caused by human driving behavior degrade throughput, safety, and comfort in mixed fleets of connected automated vehicles (CAVs) and human-driven vehicles (HDVs). We propose AdapKoopPC, an adaptive deep Koopman predictive control framework that learns a linear lifted representation of heterogeneous HDV car-following dynamics from naturalistic data and integrates a low-rank online adapter into a model predictive controller. The method trains an AdapKoopNet encoder/decoder to produce lifted states and a universal A,B core; a rank-constrained adapter captures driver-specific shifts. We certify closed-loop contraction under bounded adapter uncertainty via convex LMIs and run a lifted moving-horizon estimator (MHE) to bound state error, propagating that bound into tightened collision constraints. Contributions include (1) a scalable AdapKoopNet design with low-rank adapters, (2) an LMI-based certificate for safe adaptation regions, and (3) a real-time controller pipeline with explicit latency and safety gating. Expected outcomes are reduced oscillation amplitude, measurable safety margins, and a reproducible evaluation protocol for mixed-traffic control.</w:t>
      </w:r>
    </w:p>
    <w:p>
      <w:r>
        <w:t xml:space="preserve"> </w:t>
      </w:r>
    </w:p>
    <w:p>
      <w:pPr>
        <w:pStyle w:val="Heading2"/>
      </w:pPr>
      <w:r>
        <w:t>Methodology</w:t>
      </w:r>
    </w:p>
    <w:p>
      <w:r>
        <w:t>1) Data and observables: collect car-following sequences from diverse drivers. Construct a small observable dictionary per vehicle: gap (distance to lead), relative speed, ego speed, ego acceleration, time-to-collision proxy, and a few polynomial/trigonometric features. "Observable" means a measured or computed quantity used to build the lifted state.</w:t>
        <w:br/>
        <w:br/>
        <w:t>2) AdapKoopNet architecture: train an encoder that maps observables to a lifted vector y and a decoder that reconstructs physical outputs. Learn a universal linear core (A_tilde, B_tilde) for lifted dynamics y_{k+1} = A y_k + B u_k. Implement a low-rank adapter ΔA = U V^T with small rank r≤6; U and V are thin matrices so ΔA has few parameters. The adapter is conditioned on a compact latent z that represents driver style. Low-rank means the correction affects only a few dominant directions, keeping parameter counts small.</w:t>
        <w:br/>
        <w:br/>
        <w:t>3) Training losses: combine reconstruction loss L_rec (reconstruct observables), multi-step linear prediction loss L_pred (predict future y using A+B), contraction regularizer L_spec (penalize spectral radius of A to encourage stability), and sparsity L_l1 on adapter weights for interpretability.</w:t>
        <w:br/>
        <w:br/>
        <w:t>4) Certification: define bounded structured uncertainty sets ||ΔA||_F ≤ μ_A, ||ΔB||_F ≤ μ_B and derive S-procedure LMIs that certify exponential contraction (exist P≻0 and K such that (A+BK)^T P (A+BK) − (1−γ)P + terms(μ) ≺0). Implement structured multipliers for low-rank ΔA to reduce conservatism. Solve LMIs offline to produce certified (A,B,K) regions. LMI means linear matrix inequality; it is a convex condition checked numerically.</w:t>
        <w:br/>
        <w:br/>
        <w:t>5) Lifted estimator: implement a moving-horizon estimator (MHE) operating on y with window length 4–6 steps to produce state estimates and a worst-case bound e_max under bounded measurement/process noise. MHE is an optimization-based estimator that minimizes recent prediction and measurement errors over a short window.</w:t>
        <w:br/>
        <w:br/>
        <w:t>6) Robust MPC: formulate a tube-style MPC in lifted coordinates using learned A,B (with adapter when accepted), the estimator bound e_max, and adapter uncertainty μ to tighten constraints. Map original collision/gap constraints to lifted space via the decoder/gradient and add a conservative margin δ_col = s_y μ_A ||y||_max + s_e e_max + v_max Δt_latency + slack. Tube MPC means planning a nominal trajectory and keeping actual states within a bounded tube.</w:t>
        <w:br/>
        <w:br/>
        <w:t>7) Online adaptation and gating: update adapter parameters online using small projected steps or a hypernetwork conditioned on recent residuals, accept updates only if LMIs remain satisfied, multi-step residual MSE decreases by ≥10% (bootstrap 95% CI non-overlap), ||ΔA||_F ≤ μ_A/2, and a guard interval T_guard=5s with three consecutive confirmations. Log all events.</w:t>
        <w:br/>
        <w:br/>
        <w:t>8) Real-time pipeline: run encoder inference on an edge accelerator (int8 quantized), run MHE and LMI monitor in parallel threads, assemble QP with cached A,B blocks, and solve with OSQP warm-start. Measure per-cycle latency and fall back to a precomputed safe controller K_safe if timing or safety checks fail.</w:t>
      </w:r>
    </w:p>
    <w:p>
      <w:r>
        <w:t xml:space="preserve"> </w:t>
      </w:r>
    </w:p>
    <w:p>
      <w:pPr>
        <w:pStyle w:val="Heading2"/>
      </w:pPr>
      <w:r>
        <w:t>Experiments</w:t>
      </w:r>
    </w:p>
    <w:p>
      <w:r>
        <w:t>Datasets: 1) Naturalistic dataset: 50–100 distinct drivers or driver-style clusters, ~50k–100k miles equivalent of car-following events; provide preprocessed sequences of length ≥30s sampled at 10 Hz. 2) Simulated edge cases: 10k episodes with extreme behaviors (sudden braking, aggressive cut-ins, packet drops). Use fixed random seeds for reproducibility (30 seeds per primary scenario).</w:t>
        <w:br/>
        <w:br/>
        <w:t>Baselines: (A) human-only (no CAV control), (B) static Koopman-MPC (no adapter), (C) robust non-adaptive MPC (worst-case Δ bounds but no adaptation), (D) safe fallback controller K_safe.</w:t>
        <w:br/>
        <w:br/>
        <w:t>Evaluation metrics: primary: oscillation amplitude decay rate (fit exponential decay of speed/spacing amplitude), percent reduction in peak speed variance, throughput (vehicles/hr). Safety metrics: min headway violations (count), time-to-collision tail statistics, fallback activation rate. Real-time metrics: end-to-end cycle latency median and 95th percentile, QP solve time, conservatism_ratio = empirical_required_margin / δ_col.</w:t>
        <w:br/>
        <w:br/>
        <w:t>Experimental setup: scenarios with platoon sizes N={5,10,20}, CAV penetration levels {10%,30%}, traffic densities low/medium/high, and controller horizon H=10. Lifted dimensions n_y∈{20,40,60}. Run each cell with 30 seeds; report bootstrap 95% CIs (moving-block bootstrap to preserve time correlation). Use mixed-effects regression with fixed effects for controller type, penetration, density and random effects for seed and driver cluster.</w:t>
        <w:br/>
        <w:br/>
        <w:t>Ablation studies: 1) Adapter rank r ∈ {0 (no adapter),1,3,6} to isolate low-rank effect. 2) Vary μ_A ∈ {0.01,0.05,0.1} to test conservatism trade-offs. 3) MHE window ∈ {3,5,7} to evaluate e_max sensitivity. 4) Quantization ablation: float32 vs int8 inference to measure impacts on spectral regularizer and LMI satisfaction.</w:t>
        <w:br/>
        <w:br/>
        <w:t>Statistical tests: paired comparisons per seed using bootstrap 95% CIs and Wilcoxon signed-rank tests when non-normal. Report percent-change effect sizes and p-values; require preregistered endpoints and deterministic seeds.</w:t>
      </w:r>
    </w:p>
    <w:p>
      <w:r>
        <w:t xml:space="preserve"> </w:t>
      </w:r>
    </w:p>
    <w:p>
      <w:pPr>
        <w:pStyle w:val="Heading2"/>
      </w:pPr>
      <w:r>
        <w:t>Risk Factors And Limitations</w:t>
      </w:r>
    </w:p>
    <w:p>
      <w:r>
        <w:t>1) Certification conservatism: S-procedure LMIs can be conservative, possibly preventing useful online adaptation regions for realistic μ_A values.</w:t>
        <w:br/>
        <w:t>2) Observability/invertibility: C_lift may be ill-conditioned, making accurate recovery of physical states from y sensitive to noise; condition numbers may limit estimator performance.</w:t>
        <w:br/>
        <w:t>3) Epistemic model uncertainty: learned (A,B) and adapter ΔA have model uncertainty not fully captured by point estimates; insufficient uncertainty quantification may understate risk.</w:t>
        <w:br/>
        <w:t>4) Computational scaling: for worst-case N=20, n_y=60, H=10 the QP size and memory may exceed edge platform limits and push latency beyond safety thresholds.</w:t>
        <w:br/>
        <w:t>5) Communication and timing failures: packet drops, asynchronous neighbor updates, and variable latency degrade guarantees and increase required δ_col margins.</w:t>
        <w:br/>
        <w:t>6) Data bias and generalization: naturalistic datasets may underrepresent rare or adversarial driver behaviors, limiting generalization to unseen styles.</w:t>
        <w:br/>
        <w:t>7) Estimator assumptions: MHE worst-case bounds depend on assumed bounded noise; heavy-tailed disturbances or outliers can violate e_max bounds.</w:t>
        <w:br/>
        <w:t>8) Quantization effects: int8 quantization can alter spectral properties of learned matrices and may break LMI certificates if not carefully validated.</w:t>
        <w:br/>
        <w:t>9) Operational thresholds: fixed numeric thresholds (10% residual drop, μ_A/2, T_guard=5s) may not transfer across scenarios without empirical tuning.</w:t>
        <w:br/>
        <w:t>10) Safety fallback frequency: excessive reversion to K_safe reduces performance benefits and may indicate model or deployment failures.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