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hgmn_ssm_node_classification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Hypergraph neural networks with state-space fusion for node classification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role-aware multi-hop streams processed by state-space models with adjacency-based embeddings inside a hypergraph neural network yields higher node classification accuracy than equivalent hypergraph models that omit state-space fusion.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fall into three relevant families. First, hypergraph neural networks use incidencebased diffusion or pairwise approximations (clique expansion, HyperGCN, HGNN) to capture higher-order relations, but they often struggle with giant hyperedges, oversmoothing across layers, and limited role-awareness. Second, role-aware and structural embedding techniques (RolX, struc2vec, motif features) provide complementary node descriptors but are typically used as static inputs rather than dynamically fused across hops. Third, state-space sequence models (S4 and related SSMs) give efficient, long-range linear mixing for sequence data, and transformer fusion mechanisms provide flexible cross-stream interactions. Limitations in prior work include: (1) lack of scalable, per-node temporal mixing of multi-hop signals inside hypergraph GNNs; (2) few principled fusion schemes that jointly learn role and adjacency signals; (3) insufficient practical designs for minibatching, giant-hyperedge splitting, and unbiased gradient assembly; and (4) limited theoretical diagnostics for oversmoothing and perturbation sensitivity.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node classification by combining hypergraph structure, role-aware signals, and state-space sequence modeling. The proposed approach constructs a hypergraph to represent higher-order relations and extracts two multi-hop streams per node: an adjacency-based stream and a role-aware stream (structural signatures grouped into hyperedges). Each stream is processed by a compact, shared state-space model to mix multi-hop information per node efficiently. A learnable transformer-like fusion module cross-attends between streams and outputs fused node embeddings. Hypergraph convolution layers operating on the incidence structure then propagate and refine embeddings; residual gates and hyperedge-weight regularizers control oversmoothing and giant-hyperedge dominance. Main contributions are (1) integrating per-node state-space mixing into hypergraph GNNs, (2) a learnable fusion of role and adjacency streams, and (3) a scalable minibatching and hyperedge-splitting protocol for large graphs. Expected outcome: richer, more stable node representations that improve classification accuracy and provide measurable diagnostics (Dirichlet energy, attention maps) for model behavior.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hypergraph construction: build a hypergraph incidence matrix H where nodes link to hyperedges derived from attribute groups, motif clusters, kNN groups, and role clusters. Save H in COO then create two CSR views: node→edge and edge→node. 2) Role features: compute simple structural descriptors per node (degree, egonet edge counts, triangle counts) and structural embeddings (struc2vec/RolX). Group nodes by clustered role signatures to form role hyperedges. 3) Streams and per-node sequences: for each node collect L hop-aggregations for two streams: adjacency hops and role hops; this produces per-node sequences of length L. 4) State-space modules (SSM): implement two shared SSMs: StableLinearSSM (small interpretable linear state) and S4-lite (compact convolutional SSM). Stack per-node sequences into (N_chunk, L, d) and convolve with the shared SSM kernel via batched FFT or S4 conv to produce per-node mixed embeddings. Explain S4-lite: a fast linear recurrent kernel that approximates long-range mixing with small state size. 5) Fusion: apply a transformer-style cross-attention where queries come from adjacency-stream outputs and keys/values from role-stream outputs; also provide gated residual fusion X_fused = sigmoid(g)⊙Fuse + (1−sigmoid(g))⊙Adj as an alternative. Initialize attention temperature and gating bias to yield near-identity early behavior. 6) Hypergraph convolution: use normalized incidence diffusion operator P = D_v^{-1/2} H W D_e^{-1} H^T D_v^{-1/2} or the row-normalized version for sparse scatter/gather. Apply per-layer learnable residual gate β_l (sigmoid) to interpolate between input and convolved output to reduce oversmoothing. 7) Minibatching and chunking: partition nodes by METIS/random, extract CSR subviews, split giant hyperedges into node-induced pieces with reweight r_i = |piece|/|edge|, and chunk nodes so SSM dense buffers fit GPU. Use gradient accumulation across chunks and reassemble piece gradients into parent-edge gradients by summation scaled by r_i before optimizer.step(). 8) Training: train end-to-end with AdamW, weight decay, dropout, LayerNorm after SSM, and monitor diagnostics (Dirichlet energy, top singular value of P, attention maps).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Cora, Citeseer, PubMed (small), ogbn-arXiv (large), and synthetic SBM + planted roles at N={1k,10k,100k} with controllable motif/role injection. Baselines: GCN (adjacency-only), MPNN, HGNN (incidence averaging), HyperGCN (sparsified pairwise), clique-expansion GCN, transformer-only node model (no hyperconv), and ablations of our model: (A) no-SSM (replace SSM with simple MLP pooling), (B) SSM variants (StableLinear, S4-lite, transformer SSM), (C) fusion variants (cross-attention, gated-sum, concat+MLP), (D) hypergraph variants (attribute, motif, role-cluster hyperedges), (E) residual gating on/off and hyperedge-splitting methods. Metrics: node classification accuracy, macro-F1, Dirichlet energy per layer (measure of smoothness), calibration (ECE), per-class recall, parameter count, FLOPs, peak GPU memory, and throughput (nodes/sec). Experimental setup: seeds n=10 initial runs for all experiments, escalate to n=20 for confirmatory tests; optimizer AdamW lr=5e-4, weight_decay=1e-5, epochs=200, early stopping patience=20. Minibatch: partition nodes ≈8k for large datasets, chunk SSM processing to N_chunk≈10k dense slices. Statistical tests: paired bootstrap 95% CI on differences (10k resamples), Wilcoxon signed-rank test for robustness, report Cohen's d and MDE = t_{.975,n−1}·s/√n. Required ablation: compare (full model) vs (no-SSM) and (cross-attention) vs (gated-sum) on each dataset with paired seeds and report CI and p-values.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Scalability and compute: SSM dense buffers and attention may require chunking or large memory; FFT or S4 conv choices change runtime and memory; extremely large hyperedge incidence (many very large hyperedges) may blow up nnz_H and GPU memory. 2) Numerical/optimization failure: improper SSM initialization or attention temperature can cause gradient instability or training collapse. 3) Giant hyperedges: a few very large hyperedges can dominate diffusion and reduce signal; splitting and reweighting may introduce bias or numerical error if not carefully handled. 4) Unbiased gradient assembly: piece→edge gradient reassembly must be implemented and tested; rounding and accumulation can cause small bias or instability. 5) Oversmoothing: deep hypergraph diffusion may erase features; residual gates can reduce but not eliminate this risk. 6) Data and evaluation bias: synthetic role injections may favor hypergraph methods; real datasets may have weak role signals limiting gains. 7) Generalization limits: models tuned on certain hypergraph recipes or SSM states may not generalize to different graph families. 8) Distributed training complexity: multi-GPU synchronization of piece parameters and reweights is nontrivial and may incur communication overhead. 9) Reproducibility risk: numerical differences across hardware or libraries (FFT, sparse kernels) can affect exact replicability.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