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recurrence_quantile_inceptiontime_protection</w:t>
      </w:r>
    </w:p>
    <w:p>
      <w:r>
        <w:t xml:space="preserve"> </w:t>
      </w:r>
    </w:p>
    <w:p>
      <w:pPr>
        <w:pStyle w:val="Heading2"/>
      </w:pPr>
      <w:r>
        <w:t>Title</w:t>
      </w:r>
    </w:p>
    <w:p>
      <w:r>
        <w:t>Recurrence-plot and change-quantile based InceptionTime supervised and semi-supervised protection for transmission lines connected to photovoltaic plants</w:t>
      </w:r>
    </w:p>
    <w:p>
      <w:r>
        <w:t xml:space="preserve"> </w:t>
      </w:r>
    </w:p>
    <w:p>
      <w:pPr>
        <w:pStyle w:val="Heading2"/>
      </w:pPr>
      <w:r>
        <w:t>Short Hypothesis</w:t>
      </w:r>
    </w:p>
    <w:p>
      <w:r>
        <w:t>Combining recurrence-plot features and mean-change-in-quantiles with an InceptionTime-based deep model and ReliefF feature selection, augmented by semi-supervised learning, will increase fault detection AUC by at least 5% and reduce location mean absolute error by at least 10% compared to a supervised InceptionTime baseline using only raw time-domain features under the same labeled-data budget.</w:t>
      </w:r>
    </w:p>
    <w:p>
      <w:r>
        <w:t xml:space="preserve"> </w:t>
      </w:r>
    </w:p>
    <w:p>
      <w:pPr>
        <w:pStyle w:val="Heading2"/>
      </w:pPr>
      <w:r>
        <w:t>Related Work</w:t>
      </w:r>
    </w:p>
    <w:p>
      <w:r>
        <w:t>Traditional protection uses impedance and overcurrent rules that fail under converter-interfaced sources due to low fault currents and altered waveforms. Machine-learning work has used time-domain features or raw-current deep networks for fault detection and location, but these often require large labeled sets and lack robustness under PV behavior and CT saturation. Recurrence plots and recurrence quantification analysis (RQA) have been applied to nonlinear signal detection, but prior uses rarely combine RPs with modern time-series architectures or semi-supervised methods. Semi-supervised methods like label spreading or mean-teacher improve label efficiency in other domains but are not widely integrated into protection pipelines. Existing gaps: sensitivity to label scarcity, limited use of recurrence+quantile features, unclear real-time feasibility of RP pipelines, and sparse evaluation across multiple network models and HIL scenarios.</w:t>
      </w:r>
    </w:p>
    <w:p>
      <w:r>
        <w:t xml:space="preserve"> </w:t>
      </w:r>
    </w:p>
    <w:p>
      <w:pPr>
        <w:pStyle w:val="Heading2"/>
      </w:pPr>
      <w:r>
        <w:t>Abstract</w:t>
      </w:r>
    </w:p>
    <w:p>
      <w:r>
        <w:t>We address single-ended protection of transmission line segments that connect the grid to photovoltaic (PV) plants. Fault signals near PV converters are nonlinear and can mislead conventional relays. We propose a protection method that extracts recurrence-plot representations (maps of state-recurrence in a time series) and computes mean changes in distribution quantiles of three-phase currents, then fuses these engineered features with raw currents in an InceptionTime-based deep model. ReliefF ranks quantile/RQA features and a semi-supervised suite (mean-teacher, label propagation, self-training) leverages unlabeled simulation runs to reduce required labeled data. The main contribution is a reproducible pipeline combining recurrence analysis, quantile-change features, compact InceptionTime fusion, and guarded semi-supervised learning for reliable detection, phase identification, and location under PV and measurement abnormalities. Expected outcome: improved detection and location accuracy under label scarcity and realistic disturbances, with a clear artifact set for reproducibility and edge profiling for deployment.</w:t>
      </w:r>
    </w:p>
    <w:p>
      <w:r>
        <w:t xml:space="preserve"> </w:t>
      </w:r>
    </w:p>
    <w:p>
      <w:pPr>
        <w:pStyle w:val="Heading2"/>
      </w:pPr>
      <w:r>
        <w:t>Methodology</w:t>
      </w:r>
    </w:p>
    <w:p>
      <w:r>
        <w:t>Data generation: simulate WSCC 9-bus and IEEE 39-bus cases with PV converter models in PSCAD/EMTDC. Sampling rate: 20 kHz (50 µs samples). Store three-phase currents with CT/VT models (include IEC-style CT saturation curve, additive Gaussian noise 0.1–1% rms, sampling jitter ±5 µs). Fault space: SLG, LL, LLG, 3P; fault location 0–100% in 5% steps; resistances {0,1,5,10,50,100} Ω; inception angle uniform [0,360). Preprocessing: apply anti-alias low-pass filter (cutoff 9 kHz), synchronize timestamps, normalize per-window by median/IQR. Sliding window: 200 ms (4000 samples) centered on fault transient. Feature extraction: 1) Recurrence plot (RP): embed each channel with delay tau ∈ {1,2,3} and dimension E ∈ {3,4,5}; compute multivariate joint RP or per-phase RPs; use adaptive k-NN threshold k=10 targeting recurrence rate 1–5%. 2) RQA descriptors: recurrence rate (RR), determinism (DET), laminarity (LAM), trapping time (TT), entropy. 3) Change-in-quantiles: compute quantiles {0.1,0.25,0.5,0.75,0.9} before vs after fault and mean change per phase and inter-phase deltas (Qdiff). 4) Time-domain features: RMS, peak, first-arrival deltas. Feature selection: apply ReliefF (k=10, iterations min(1000,N)) for detection/phase and RReliefF for location; choose top-k in {8,12,16} balancing performance and runtime. Model architecture: three-branch fusion. Branch A: InceptionTime on raw Ia/Ib/Ic (input shape channels=3, length=4000), inception kernel sizes [8,16,32], 3 inception modules, 32 base filters. Branch B: lightweight CNN on RP images resized to 128x128 (explain: RP is a 2D map where similar states recur). Branch C: MLP on top-k ReliefF quantile+RQA features. Fuse by concatenation + attention pooling and output three heads: detection (sigmoid), phase ID (multi-label softmax), location (regression linear). Explain InceptionTime: a pattern-matching convolutional stack with multiple kernel sizes operating in parallel. Training: supervised pretraining with AdamW lr=1e-3, batch=64, cosine scheduler, gradient clipping, early stop at 20-val epochs without improvement, up to 100 epochs. Loss: L = BCE_det + CE_phase + 10*MSE_loc. Semi-supervised: implement mean-teacher (EMA α=0.999) with consistency loss, FixMatch-style strong/weak augmentations (jitter, small time-warp, scaling), and graph-based label propagation on fused features. Pseudo-label schedule: thresholds 0.90→0.95→0.98 across up to 5 iterations; per-class cap 5% of unlabeled pool per iteration; global cap 30%. Recompute ReliefF after each SSL round or after drift alerts; freeze features when Kuncheva index ≥0.6 across 3 successive recomputations. Evaluation and profiling: measure detection AUC, false-trip, missed-detect, phase F1, location MAE (km), calibration (ECE), and end-to-end latency (feature extraction + inference) on ARM Cortex-A72 and Jetson Xavier NX. Reproducibility: publish PSCAD scenes, seeds, minimal dataset subset (2,000 events with 200 labeled/1,800 unlabeled), preprocessing code, feature extraction, ReliefF, model training, and Docker image.</w:t>
      </w:r>
    </w:p>
    <w:p>
      <w:r>
        <w:t xml:space="preserve"> </w:t>
      </w:r>
    </w:p>
    <w:p>
      <w:pPr>
        <w:pStyle w:val="Heading2"/>
      </w:pPr>
      <w:r>
        <w:t>Experiments</w:t>
      </w:r>
    </w:p>
    <w:p>
      <w:r>
        <w:t>Datasets: 1) Minimal reproducible set: 2,000 events (200 labeled stratified, 1,800 unlabeled) across WSCC 9-bus and IEEE 39-bus as provided. 2) Full simulation pool: 10,000+ events with same parameter sweeps. 3) Field/testbench traces (6–8) for sim→field deviation checks. Baselines: A) Conventional impedance relay with standard settings. B) Random forest on engineered time-domain features. C) Supervised InceptionTime on raw currents (no RP, no quantiles). D) Full model without SSL. Models to compare: proposed fused model (supervised) and fused model + SSL variants: mean-teacher, label propagation, self-training. Ablation studies: (i) remove recurrence features, (ii) remove quantile features, (iii) no ReliefF (use all features), (iv) supervised-only vs SSL at labeled fractions {1%,5%,10%}. Cross-network transfer: train on WSCC, test on IEEE39 and vice versa. HIL/adversary scenarios: CT saturation, high-resistance faults (up to 100 Ω), sampling jitter ±5 µs, harmonic injection up to 5%, data replay/injection tests. Evaluation metrics: detection AUC (primary), false-trip rate (≤0.1 target), missed-detect rate (≤1% target), phase-ID F1, location MAE (km and % of line), calibration ECE, end-to-end latency (median and 95th percentile), bootstrap 95% CI for primary metrics. Experimental setup: fixed seeds {1001..1010}, nested cross-validation with outer 5 folds and inner 3 folds for hyperparameter tuning, repeat experiments with 10 seeds, report mean and 95% CI. Statistical tests: paired Wilcoxon signed-rank for model pairs and bootstrap CIs for effect sizes. Acceptance checks: SSL must improve detection AUC by ≥5% at 10% labeled vs supervised baseline and meet latency ≤50 ms on target edge hardware for a pruned/INT8 model variant.</w:t>
      </w:r>
    </w:p>
    <w:p>
      <w:r>
        <w:t xml:space="preserve"> </w:t>
      </w:r>
    </w:p>
    <w:p>
      <w:pPr>
        <w:pStyle w:val="Heading2"/>
      </w:pPr>
      <w:r>
        <w:t>Risk Factors And Limitations</w:t>
      </w:r>
    </w:p>
    <w:p>
      <w:r>
        <w:t>Simulation-to-field gap: PSCAD traces may not match field signals; RQA and quantile features can shift in real data. Label-noise amplification: pseudo-label errors in SSL can propagate and reduce safety. RP computation cost: full RPs are memory and CPU intensive and may challenge real-time budgets. CT/VT nonlinearities: CT saturation or severe distortion can invalidate features and cause false trips or missed detections. Generalization limits: models trained on WSCC/IEEE39 may not generalize to other networks without adaptation. Adversarial or spoofing attacks: sensor injection or replay can mislead ML decisions. Statistical limitations: limited labeled data for rare fault types may yield high-variance estimates. Regulatory acceptance: mapping ML outputs to existing relay standards is nontrivial. HIL scaling: hardware-in-the-loop campaigns are time and resource intensive. No mitigations are provided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