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gnn_aclp_spicenet_babelfish</w:t>
      </w:r>
    </w:p>
    <w:p>
      <w:r>
        <w:t xml:space="preserve"> </w:t>
      </w:r>
    </w:p>
    <w:p>
      <w:pPr>
        <w:pStyle w:val="Heading2"/>
      </w:pPr>
      <w:r>
        <w:t>Title</w:t>
      </w:r>
    </w:p>
    <w:p>
      <w:r>
        <w:t>GNN-ACLP: A SEAL-based Graph Neural Network with LLM-powered Netlist Conversion for Analog Circuit Link Prediction</w:t>
      </w:r>
    </w:p>
    <w:p>
      <w:r>
        <w:t xml:space="preserve"> </w:t>
      </w:r>
    </w:p>
    <w:p>
      <w:pPr>
        <w:pStyle w:val="Heading2"/>
      </w:pPr>
      <w:r>
        <w:t>Short Hypothesis</w:t>
      </w:r>
    </w:p>
    <w:p>
      <w:r>
        <w:t>A SEAL-style subgraph-based heterogeneous graph neural network trained with electrical priors and augmented by an LLM-backed netlist conversion pipeline will increase port-level link prediction precision and electrically-valid reconstruction rate compared to homogeneous GNNs and rule-based converters on the SpiceNetlist corpus.</w:t>
      </w:r>
    </w:p>
    <w:p>
      <w:r>
        <w:t xml:space="preserve"> </w:t>
      </w:r>
    </w:p>
    <w:p>
      <w:pPr>
        <w:pStyle w:val="Heading2"/>
      </w:pPr>
      <w:r>
        <w:t>Related Work</w:t>
      </w:r>
    </w:p>
    <w:p>
      <w:r>
        <w:t>Existing methods for circuit connectivity either use rule-based heuristics on netlist text or apply generic graph neural networks (GNNs) on node/edge representations. Rule-based converters are deterministic but brittle across netlist dialects and often miss hierarchical or implicit port mappings. Generic GNNs treat the netlist as a flat graph and lack explicit subgraph context, limiting their ability to model local wiring motifs that determine electrical compatibility. SEAL-style subgraph learning (which extracts a small neighborhood around candidate node pairs) has been effective for link prediction in other domains by focusing on local structure, but it has not been adapted with electrical priors or port-level semantics for analog netlists. Large language models (LLMs) can parse diverse netlist dialects but tend to hallucinate and lack electrical grounding. Current gaps include: limited use of subgraph learning for port-level circuit links, absence of combined LLM grounding plus electrical validation, and scarce annotated datasets with provenance and simulation-backed validation.</w:t>
      </w:r>
    </w:p>
    <w:p>
      <w:r>
        <w:t xml:space="preserve"> </w:t>
      </w:r>
    </w:p>
    <w:p>
      <w:pPr>
        <w:pStyle w:val="Heading2"/>
      </w:pPr>
      <w:r>
        <w:t>Abstract</w:t>
      </w:r>
    </w:p>
    <w:p>
      <w:r>
        <w:t>We address port-level link prediction for analog circuit netlists by combining subgraph-focused graph neural networks with an LLM-powered netlist conversion tool. Our approach, GNN-ACLP, applies SEAL-style subgraph extraction on a heterogeneous graph of ports, nets, components, and subcircuits to learn local topological patterns that predict whether two ports should be connected. To handle diverse netlist dialects, we build Netlist Babel Fish: a retrieval-augmented generation pipeline that converts various netlist formats into a canonical schema, producing provenance and confidence scores. We introduce the SpiceNetlist dataset with annotated port mappings and ngspice-backed electrical validation. Main contributions are: (1) a reproducible SEAL-based heterogeneous GNN adapted to port semantics and electrical priors; (2) an LLM+RAG netlist canonicalizer integrated into the training and evaluation loop; (3) a curated dataset with electrical validation metrics. We expect measurable improvements in precision, electrically-valid reconstruction rate, and cross-dialect robustness over rule-based and flat-GNN baselines.</w:t>
      </w:r>
    </w:p>
    <w:p>
      <w:r>
        <w:t xml:space="preserve"> </w:t>
      </w:r>
    </w:p>
    <w:p>
      <w:pPr>
        <w:pStyle w:val="Heading2"/>
      </w:pPr>
      <w:r>
        <w:t>Methodology</w:t>
      </w:r>
    </w:p>
    <w:p>
      <w:r>
        <w:t>1) Data and schema: prepare SpiceNetlist v0.1 with 100 annotated circuits and a JSON schema per port/component/net capturing port_id, parent_component, pin_index, port_direction (driver/input/highZ/passive), electrical_type (POWER,GND,SIGNAL), impedance_hint, net_class, and provenance. Validate annotations with inter-annotator agreement. 2) Graph construction: build a heterogeneous graph with node types {port, net, component, subcircuit} and typed edges (port↔component, port↔net, component↔subcircuit). 3) Subgraph extraction (SEAL-style): for each candidate port pair, extract the induced subgraph within radius=2 hops. A subgraph is the small neighborhood capturing local wiring motifs; label nodes by distance-to-source/target as in SEAL to encode relative position. 4) Model architecture (GNN-ACLP): use per-relation message passing with an attention-based aggregator to handle multiple edge types. Stack 3 message-passing layers, 128 hidden units, ReLU activations, layer normalization. Fuse port pair embeddings with a cross-attention block over subcircuit context to capture hierarchy. Readout is an MLP producing a link probability. 5) Electrical priors &amp; negative sampling: implement executable boolean priors (driver-driver_mask, rail_consistency, directionality_compat, floating_guard) used to mask or downweight negative samples during training. 6) Netlist Babel Fish: build a retrieval index (dense FAISS + BM25) of canonical examples; use a prompt template with top-k evidence (k=5) to an instruction-tuned LLM; enforce structured JSON outputs and deterministic post-processing. 7) Training protocol: BCE loss with balanced positives/negatives, Adam optimizer lr=1e-3, weight decay=1e-5, batch size=32, dropout=0.2, negative ratio default 1:5, cosine LR scheduler with 5% warmup, gradient clipping=1.0. Train with multiple random seeds (≥5). 8) Electrical evaluation pipeline: apply predicted links to canonical netlists, run ngspice DC operating point, compute KCL residuals per node, and record EVR (electrically-valid reconstruction rate). KCL residual is sum of element currents at a node from the operating point. 9) CI and provenance: containerize environment, DVC-track datasets, enforce JSON-schema validation and provenance links for every converted file.</w:t>
      </w:r>
    </w:p>
    <w:p>
      <w:r>
        <w:t xml:space="preserve"> </w:t>
      </w:r>
    </w:p>
    <w:p>
      <w:pPr>
        <w:pStyle w:val="Heading2"/>
      </w:pPr>
      <w:r>
        <w:t>Experiments</w:t>
      </w:r>
    </w:p>
    <w:p>
      <w:r>
        <w:t>Datasets: use SpiceNetlist v0.1 (100 circuits, 60 real + 40 synthetic) for pilot experiments; expand to full SpiceNetlist (775 circuits) for final evaluation. Splits: deterministic train/val/test with type-aware stratification and an unseen-type holdout. Baselines: (A) rule-based converter + heuristic linker, (B) homogeneous GNN on flattened netlist graph, (C) node-feature GNN without SEAL subgraphs, (D) SEAL-style GNN without electrical priors, and (E) GNN-ACLP full (SEAL + electrical priors + Babel Fish canonicalization). Metrics: ROC-AUC, PR-AUC, precision@k (k=10), EVR (fraction of predicted links passing ngspice DC+KCL checks), KCL violation rate, simulation-failure rate, round-trip conversion accuracy (canonicalization accuracy), hallucination rate (fraction of JSON fields without retrieval evidence), and calibration (ECE). Setup: train with 3-layer, 128-hidden GNN, Adam lr=1e-3, batch=32, neg_ratio=1:5, dropout=0.2, weight_decay=1e-5; run ≥5 seeds per experiment and report mean ±95% bootstrap CI. Ablations: (1) disable SEAL (use full-graph inputs), (2) remove electrical priors in negative sampling, (3) turn off Babel Fish canonicalization (use raw dialects), (4) vary negative ratio ∈ {1:1,1:3,1:5,1:7}. Statistical tests: DeLong for ROC comparisons, paired bootstrap for metric differences, Benjamini-Hochberg FDR control across multiple tests. Simulation: ngspice mandatory for all EVR checks; run LTspice/HSPICE on a 15% verification subset to confirm simulator-independence. Report per-circuit and per-type breakdowns.</w:t>
      </w:r>
    </w:p>
    <w:p>
      <w:r>
        <w:t xml:space="preserve"> </w:t>
      </w:r>
    </w:p>
    <w:p>
      <w:pPr>
        <w:pStyle w:val="Heading2"/>
      </w:pPr>
      <w:r>
        <w:t>Risk Factors And Limitations</w:t>
      </w:r>
    </w:p>
    <w:p>
      <w:r>
        <w:t>1) Technical failure modes: SEAL subgraphs may omit long-range dependencies in large hierarchies, causing missed links; electrical priors may over-mask valid connections (false negatives) for uncommon motifs. 2) LLM risks: Netlist Babel Fish can hallucinate mappings or produce inconsistent JSON requiring human review; retrieval gaps cause conversion failures when corpus lacks matching dialect examples. 3) Data biases: v0.1 seed may over-represent common topologies; models can overfit motifs present in synthetic augmentations and not generalize to novel blocks. 4) Evaluation sensitivity: KCL residual threshold (default 1e-3 A) may be inappropriate across circuits with widely varying current scales; EVR depends on simulator numeric behavior and device models. 5) Scalability and compute: training SEAL-style subgraph GNNs and RAG-driven conversion requires GPU and CPU resources; full ablation suites may need hundreds of GPU-hours and significant storage. 6) Generalization limits: performance on exotic components, multi-die hierarchies, or proprietary vendor primitives may be poor without additional annotated examples. 7) Legal/licensing constraints: proprietary reference circuits or commercial LLMs may restrict dataset sharing or replication.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