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quantum_lstm_attention_perm_pred</w:t>
      </w:r>
    </w:p>
    <w:p>
      <w:r>
        <w:t xml:space="preserve"> </w:t>
      </w:r>
    </w:p>
    <w:p>
      <w:pPr>
        <w:pStyle w:val="Heading2"/>
      </w:pPr>
      <w:r>
        <w:t>Title</w:t>
      </w:r>
    </w:p>
    <w:p>
      <w:r>
        <w:t>Quantum-enhanced long short-term memory with attention for spatial permeability prediction in oilfield reservoirs</w:t>
      </w:r>
    </w:p>
    <w:p>
      <w:r>
        <w:t xml:space="preserve"> </w:t>
      </w:r>
    </w:p>
    <w:p>
      <w:pPr>
        <w:pStyle w:val="Heading2"/>
      </w:pPr>
      <w:r>
        <w:t>Short Hypothesis</w:t>
      </w:r>
    </w:p>
    <w:p>
      <w:r>
        <w:t>Embedding variational quantum circuits into LSTM gate computations together with classical pre-quantum attention will reduce test log-permeability RMSE by at least 10% relative to a matched classical LSTM+attention baseline under identical data, training, and evaluation conditions.</w:t>
      </w:r>
    </w:p>
    <w:p>
      <w:r>
        <w:t xml:space="preserve"> </w:t>
      </w:r>
    </w:p>
    <w:p>
      <w:pPr>
        <w:pStyle w:val="Heading2"/>
      </w:pPr>
      <w:r>
        <w:t>Related Work</w:t>
      </w:r>
    </w:p>
    <w:p>
      <w:r>
        <w:t>Existing approaches for reservoir permeability prediction include classical sequence models (LSTM with attention), convolutional spatial models (U-Net/CNN), transformers for spatio-temporal data, and geostatistical methods (kriging, conditional simulation). Separately, hybrid quantum-classical models and variational quantum circuits (VQCs) have been explored for small-scale regression and classification tasks. Limitations across prior work include: classical models struggle to preserve fine spatial connectivity and variogram fidelity at small sample sizes; VQC work often lacks integration into recurrent cells and has not been evaluated on geoscience flow-relevance metrics; quantum proposals suffer from high shot-costs, shallow device constraints, parameter-shift gradient overhead, barren-plateau trainability issues, and limited demonstrations of operational impact (e.g., coarse flow simulation). There is a gap combining classical attention, VQCs inside recurrent gates, and geologically meaningful evaluation.</w:t>
      </w:r>
    </w:p>
    <w:p>
      <w:r>
        <w:t xml:space="preserve"> </w:t>
      </w:r>
    </w:p>
    <w:p>
      <w:pPr>
        <w:pStyle w:val="Heading2"/>
      </w:pPr>
      <w:r>
        <w:t>Abstract</w:t>
      </w:r>
    </w:p>
    <w:p>
      <w:r>
        <w:t>We address spatial prediction of reservoir permeability by introducing a hybrid quantum-classical recurrent model that embeds variational quantum circuits (VQCs) into LSTM gates while applying attention in the classical domain before quantum encoding. The model computes interpretable attention over classical hidden states to form a compact summary vector per time step, encodes that summary into qubit rotation angles, and feeds the angles into shallow VQCs whose measured expectations map to LSTM gate pre-activations. We design and compare two quantum gate configurations (shared VQC across gates and independent per-gate VQCs) and evaluate qubit counts and circuit depth. The main contributions are: (1) a reproducible QLSTMA architecture and tensor-flow specification, (2) a parameter and QPU-cost accounting framework, and (3) a rigorous experimental plan including geologically relevant spatial and flow metrics. We expect the hybrid design to improve spatial structure fidelity and reduce log-permeability RMSE versus classical baselines under realistic training budgets, while quantifying QPU resource trade-offs for near-term devices.</w:t>
      </w:r>
    </w:p>
    <w:p>
      <w:r>
        <w:t xml:space="preserve"> </w:t>
      </w:r>
    </w:p>
    <w:p>
      <w:pPr>
        <w:pStyle w:val="Heading2"/>
      </w:pPr>
      <w:r>
        <w:t>Methodology</w:t>
      </w:r>
    </w:p>
    <w:p>
      <w:r>
        <w:t>1) Data preparation: collect well logs and core permeability samples plus synthetic ensembles. Standardize and apply facies-aware log-transform. Extract spatial patches and build time-like sequences by a chosen sweep ordering (e.g., lateral patch sweep). 2) Classical attention: compute attention weights over a context of hidden states and lateral features to produce an attended vector a_t for each time-step. Attention is purely classical to avoid heavy QPU calls. 3) Encoder to quantum inputs: reduce the preprocessor output p_t = W_x x_t + W_a a_t + W_h h_{t-1} + b to Q dimensions using PCA or a small autoencoder; scale outputs into rotation angles in [−π,π]. Explain: PCA is a linear dimensionality reduction; autoencoder is a small neural net compressor. 4) VQC design: use a hardware-efficient ansatz per VQC layer: single-qubit Ry and Rz rotations followed by device-aligned nearest-neighbor entangling gates; repeat L layers. Keep L small (1–3). 5) Integration into LSTM gates: measure single-qubit expectation values z ∈ R^Q from the VQC and map to gate pre-activations u_g via linear readouts u_g = W_g z + b_g for i,f,o,g. Two configurations: shared VQC (one VQC reused for all gates) and independent VQCs (one per gate). 6) Training: compute composite loss L = L_MSE(log perm) + λ_var L_vario + λ_facies L_facies + λ_flow L_flow. Use classical optimizer for classical parameters and appropriate optimizer for VQC parameters. Use analytic parameter-shift where possible (2 evaluations per parameter) or SPSA when needed. 7) Diagnostics: monitor gradient variance, gradient norms, variogram fidelity, and flow-proxy performance. 8) Evaluation: produce per-patch predictions, compute spatial metrics and run paired block-bootstrap statistical tests. 9) Repeat with Q ∈ {4,6,8}, L ∈ {1,2,3}, and shot budgets S ∈ {500,1000,2000}.</w:t>
      </w:r>
    </w:p>
    <w:p>
      <w:r>
        <w:t xml:space="preserve"> </w:t>
      </w:r>
    </w:p>
    <w:p>
      <w:pPr>
        <w:pStyle w:val="Heading2"/>
      </w:pPr>
      <w:r>
        <w:t>Experiments</w:t>
      </w:r>
    </w:p>
    <w:p>
      <w:r>
        <w:t>Datasets: (A) Field: assembled well logs with core-measured permeability (aligned depth-wise) and a field transfer set (leave-one-well-out); (B) Synthetic: object-based channel and process-based ensembles with N_realizations ≥ 100 per ablation arm. Baselines: classical LSTM+attention (matched hidden dim), U-Net/CNN spatial model, spatio-temporal Transformer, Gaussian Process/kriging, and conditional geostatistical ensemble median. Evaluation metrics: RMSE and MAE on log(permeability), variogram-mismatch L_vario = Σ_h w(h)[γ_pred(h)−γ_true(h)]^2 over selected lags, SSIM on 2D slices, coarse transmissibility error, breakthrough-time MSE (proxy solver), PICP and CRPS for uncertainty calibration, and resource metrics (Q, L, shots, wall-time, QPU-hours). Experimental setup: batch size 16, epochs 50–200, classical LR ∈ {1e-3,1e-4}, quantum LR ∈ {1e-3,1e-5}, hidden H ∈ {64,128,256}. Run each configuration with ≥100 independent seeds/realizations for power planning. Ablation studies (predeclared): primary comparison = shared VQC vs independent VQCs at Q ∈ {4,6,8}, L ∈ {1,2}; secondary comparisons = encoding type (PCA vs AE vs amplitude), sequence ordering (lateral vs vertical vs Hilbert), and shot budget S sensitivity. Statistical tests: paired block-bootstrap preserving spatial blocks sized by empirical correlation length; report effect sizes and FDR-corrected p-values. Report wall-clock per gradient and per epoch using simulated device latencies and one candidate real-device table for IBM Falcon and Quantinuum.</w:t>
      </w:r>
    </w:p>
    <w:p>
      <w:r>
        <w:t xml:space="preserve"> </w:t>
      </w:r>
    </w:p>
    <w:p>
      <w:pPr>
        <w:pStyle w:val="Heading2"/>
      </w:pPr>
      <w:r>
        <w:t>Risk Factors And Limitations</w:t>
      </w:r>
    </w:p>
    <w:p>
      <w:r>
        <w:t>1) QPU resource limits: high parameter counts cause large parameter-shift gradient cost (2 evaluations per parameter) and long wall-clock times; queue, compile, reset, and measurement overhead may make training on real devices infeasible. 2) Trainability failures: VQCs can exhibit barren-plateau behavior where gradients vanish exponentially with qubit count or depth, preventing learning. 3) Shot and noise sensitivity: limited shot budgets and device noise produce high variance in expectation estimates that propagate into gate pre-activations and destabilize training. 4) Readout and entangler constraints: device connectivity and two-qubit error rates may prevent executing the chosen ansatz with acceptable fidelity. 5) Data biases and alignment errors: misaligned core-log depths, sparse core coverage, or depositional-style mismatch can bias evaluation and reduce generalization. 6) Limited generalization: improvements observed on synthetic ensembles or specific fields may not transfer to other depositional styles or scales. 7) Computational cost: shared vs independent VQC trade-offs may still incur prohibitive QPU-hours for full ablation; simulator costs for many repeats can also be large. 8) Validation gap: proxy flow metrics may not fully capture full-field production impact without a full high-fidelity reservoir simulation.</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