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facebook_rural_ea_prevention</w:t>
      </w:r>
    </w:p>
    <w:p>
      <w:r>
        <w:t xml:space="preserve"> </w:t>
      </w:r>
    </w:p>
    <w:p>
      <w:pPr>
        <w:pStyle w:val="Heading2"/>
      </w:pPr>
      <w:r>
        <w:t>Title</w:t>
      </w:r>
    </w:p>
    <w:p>
      <w:r>
        <w:t>Mixed-methods development and pilot testing of a Facebook-delivered, co-created web intervention to reduce multiple cancer risk behaviors among rural emerging adults</w:t>
      </w:r>
    </w:p>
    <w:p>
      <w:r>
        <w:t xml:space="preserve"> </w:t>
      </w:r>
    </w:p>
    <w:p>
      <w:pPr>
        <w:pStyle w:val="Heading2"/>
      </w:pPr>
      <w:r>
        <w:t>Short Hypothesis</w:t>
      </w:r>
    </w:p>
    <w:p>
      <w:r>
        <w:t>Exposure to a theory-based, co-created Facebook private-group intervention will produce greater reductions in targeted cancer risk behaviors at 3 months among rural emerging adults compared with assessment-only controls.</w:t>
      </w:r>
    </w:p>
    <w:p>
      <w:r>
        <w:t xml:space="preserve"> </w:t>
      </w:r>
    </w:p>
    <w:p>
      <w:pPr>
        <w:pStyle w:val="Heading2"/>
      </w:pPr>
      <w:r>
        <w:t>Related Work</w:t>
      </w:r>
    </w:p>
    <w:p>
      <w:r>
        <w:t>Previous work has tested web- and social-media–delivered health interventions that use behavior-change theory, peer interaction, and moderator support to influence single health behaviors. Social-platform pilots demonstrate reasonable feasibility but face common limitations: weak engagement over time, high contamination risk when participants share content across groups, limited objective outcome verification, and sparse attention to rural emerging adults who have distinct connectivity and cultural contexts. Multi-behavior interventions are less common; they raise trade-offs between breadth and participant burden. Prior analytic approaches often use simple pre-post or basic clustered models without pre-specified network-contamination checks. Privacy concerns and platform data-access constraints have limited reproducibility and data sharing. Existing methods therefore leave open how to co-create content with stakeholders, monitor cross-group contagion robustly, integrate objective measures (biomarkers, accelerometry), and prespecify analytic rules for clustered social-media pilots.</w:t>
      </w:r>
    </w:p>
    <w:p>
      <w:r>
        <w:t xml:space="preserve"> </w:t>
      </w:r>
    </w:p>
    <w:p>
      <w:pPr>
        <w:pStyle w:val="Heading2"/>
      </w:pPr>
      <w:r>
        <w:t>Abstract</w:t>
      </w:r>
    </w:p>
    <w:p>
      <w:r>
        <w:t>Rural emerging adults face multiple modifiable cancer risk behaviors but have limited access to tailored prevention programs. We propose a mixed-methods approach to develop and pilot a theory-driven, community-engaged web intervention delivered through Facebook private groups and co-created with emerging adults and stakeholder advisory boards. The intervention targets six cancer risk behaviors using weekly themed modules, participant-selected priority behaviors, limited tailored nudges, and trained peer moderators. Main contributions are: (1) a co-creation workflow that embeds community advisory board input into content, privacy, and measurement decisions; (2) IRB-ready SOPs for objective measures (mailed cotinine, wrist accelerometers, immunization record queries); and (3) a pre-specified analytic and contamination-detection plan combining generalized linear mixed models with network checks. The pilot will evaluate feasibility, engagement, contamination rates, and preliminary behavior change signals. Expected outcomes include evidence of acceptability and operational feasibility in rural contexts, measurable changes in targeted behaviors in the pilot sample, and reproducible procedures for a definitive trial.</w:t>
      </w:r>
    </w:p>
    <w:p>
      <w:r>
        <w:t xml:space="preserve"> </w:t>
      </w:r>
    </w:p>
    <w:p>
      <w:pPr>
        <w:pStyle w:val="Heading2"/>
      </w:pPr>
      <w:r>
        <w:t>Methodology</w:t>
      </w:r>
    </w:p>
    <w:p>
      <w:r>
        <w:t>1) Community engagement and co-creation: recruit a 8–12 member Community Advisory Board (CAB) including rural emerging adults and local stakeholders. Use short workshops and remote sessions to co-create weekly module themes, imagery, and wording. 2) Intervention delivery: implement private Facebook groups controlled by study-admin accounts. Weekly modules combine a short caption, low-bandwidth infographic or captioned video, one poll, and a behavioral challenge. Participants choose up to two priority behaviors at enrollment; the system recommends priorities from baseline risk. Moderators follow scripted motivational-interviewing–consistent replies and a 24-hour response target. 3) Tailoring and nudges: deliver up to three personalized nudges per participant per week (simple text prompts or poll-based branching). 4) Objective measurement: mail saliva kits for cotinine (record lab LOD/LOQ; primary cutoff ≥10 ng/mL), send ActiGraph wGT3X-BT accelerometers (collect raw 30 Hz; primary 15s epoch; wear ≥10 h/day for ≥4 days), and obtain participant-signed releases to query immunization registries for HPV vaccination verification. Explain technical terms: generalized linear mixed model (GLMM) = a statistical model that accounts for repeated measures and clustered groups by adding random intercepts; cotinine = a biomarker for recent nicotine exposure measured in saliva. 5) Contamination monitoring: define cross-group exposure as shared membership, reposts/screenshots outside groups, direct mentions, or participant-reported external sharing. Automate weekly shared-member overlap and log moderator flags; trigger manual review if shared-member rate &gt;5% or externally-shared posts &gt;3% of weekly posts. 6) Analysis plan: primary estimation uses GLMMs with random intercepts for participant and group; include time-varying exposure covariates (posts seen, mentions). Pre-specify network checks (Moran’s I on residuals) and use network models descriptively if density triggers met (e.g., average degree &gt;2). 7) Data privacy: redact usernames, hash IDs, generalize timestamps to week, and store raw text in controlled-access repository. 8) Documentation: produce SOPs for all procedures, moderator training curriculum, and a short analytic SAP excerpt.</w:t>
      </w:r>
    </w:p>
    <w:p>
      <w:r>
        <w:t xml:space="preserve"> </w:t>
      </w:r>
    </w:p>
    <w:p>
      <w:pPr>
        <w:pStyle w:val="Heading2"/>
      </w:pPr>
      <w:r>
        <w:t>Experiments</w:t>
      </w:r>
    </w:p>
    <w:p>
      <w:r>
        <w:t>Design: randomized pilot with N≈80 rural emerging adults allocated to one of four parallel Facebook groups (approx. 20 per group). Randomization unit: individual participant with group membership stratified by baseline priority behavior. Arms: (A) full intervention (co-created content + moderators + tailoring), (B) no-tailoring (same content without personalized nudges), (C) no-moderator (content posted but no responsive moderators), (D) assessment-only control (no group content). A/B contrasts: within the full-intervention arm randomly vary framing (gain vs loss), media format (video vs infographic), and timing (morning vs evening) with ≈20 participants/contrast arm; treat these as exploratory. Datasets: baseline and 3-month follow-up surveys with standard behavioral items for six cancer risk behaviors (binary indicators: current combustible tobacco use, e-cigarette use, heavy episodic alcohol, physical inactivity, poor diet threshold, indoor tanning), accelerometer files, cotinine assay results, and immunization registry status. Baselines for comparison: assessment-only control and published effect sizes from prior social-media pilots where available. Evaluation metrics: primary = change in count of targeted risk behaviors per participant from baseline to 3 months; secondary = per-behavior binary change rates, mean change in cotinine concentration, mean minutes/day MVPA from accelerometer, and engagement metrics (reach = percent who viewed at least one module; dose = average modules viewed per participant; depth = average comments per participant). Analysis setup: use GLMMs with random intercepts for participant and Facebook group; report cluster-robust standard errors. Conduct permutation tests as robustness checks for small-sample inference. Missing data: implement multiple imputation under MAR for survey outcomes; report pattern-mixture sensitivity analyses with delta adjustments. Handle biochemical nonresponse by classifying non-return as missing in primary analysis and testing two scenarios in sensitivity (assume positive use; assume negative use). Ablation study: compare full intervention versus no-tailoring and no-moderator arms to quantify incremental effects of tailoring and moderator support. Contamination analysis: if shared-member rate &gt;5% or external shares &gt;3%, run sensitivity models excluding affected participants and include time-varying exposure covariates. Reporting: present point estimates with 95% confidence intervals and emphasize precision limits given pilot sample sizes.</w:t>
      </w:r>
    </w:p>
    <w:p>
      <w:r>
        <w:t xml:space="preserve"> </w:t>
      </w:r>
    </w:p>
    <w:p>
      <w:pPr>
        <w:pStyle w:val="Heading2"/>
      </w:pPr>
      <w:r>
        <w:t>Risk Factors And Limitations</w:t>
      </w:r>
    </w:p>
    <w:p>
      <w:r>
        <w:t>1) Contamination: participants may share content across groups causing diffusion that biases group comparisons. 2) Low power: pilot sample sizes limit detection to large effect sizes; A/B contrasts are underpowered for small effects. 3) Engagement variability: uneven participant activity may reduce dose and increase missingness. 4) Platform dependence: changes to Facebook features or policies can disrupt data exports or moderation workflows. 5) Privacy and legal constraints: Meta terms may block automated exports and complicate reproducible data access. 6) Measurement nonresponse: failure to return saliva kits or wear accelerometers reduces objective outcome data and may be nonrandom. 7) Assay limits: lab LOD/LOQ higher than expected may invalidate planned cotinine cutoffs. 8) Selection bias: participants who join a Facebook study may not represent the broader rural emerging adult population. 9) Analytic complexity: social-network dependencies may be sparse, preventing robust network-model estimation, or dense, complicating inference. 10) Generalizability: findings on Facebook may not transfer to other platforms or non-digital interventions.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