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a2ar_cp_csf_ventriculomegaly</w:t>
      </w:r>
    </w:p>
    <w:p>
      <w:r>
        <w:t xml:space="preserve"> </w:t>
      </w:r>
    </w:p>
    <w:p>
      <w:pPr>
        <w:pStyle w:val="Heading2"/>
      </w:pPr>
      <w:r>
        <w:t>Title</w:t>
      </w:r>
    </w:p>
    <w:p>
      <w:r>
        <w:t>A2A receptor signaling in choroid plexus epithelial cells drives CSF hypersecretion and ventriculomegaly via PI3K/AKT–SPAK and NF-κB–ATP1A2 pathways</w:t>
      </w:r>
    </w:p>
    <w:p>
      <w:r>
        <w:t xml:space="preserve"> </w:t>
      </w:r>
    </w:p>
    <w:p>
      <w:pPr>
        <w:pStyle w:val="Heading2"/>
      </w:pPr>
      <w:r>
        <w:t>Short Hypothesis</w:t>
      </w:r>
    </w:p>
    <w:p>
      <w:r>
        <w:t>Aberrant activation of adenosine A2A receptors (A2AR) in choroid plexus epithelial cells increases cerebrospinal fluid (CSF) production and causes ventricular enlargement through a rapid PI3K/AKT-dependent SPAK phosphorylation axis and a slower NF-κB-dependent transcriptional upregulation of ATP1A2, and pharmacologic A2AR antagonism (istradefylline) prevents these changes.</w:t>
      </w:r>
    </w:p>
    <w:p>
      <w:r>
        <w:t xml:space="preserve"> </w:t>
      </w:r>
    </w:p>
    <w:p>
      <w:pPr>
        <w:pStyle w:val="Heading2"/>
      </w:pPr>
      <w:r>
        <w:t>Related Work</w:t>
      </w:r>
    </w:p>
    <w:p>
      <w:r>
        <w:t>Previous studies implicate adenosine receptors in central nervous system signaling and report roles for ion transport regulators (WNK/SPAK kinases) and Na+/K+-ATPase in epithelial ion handling. Work on choroid plexus physiology shows transporters like AQP1, NKCC1, and Na+/K+-ATPase influence CSF secretion, and NF-κB is a known transcriptional regulator of ion transporter genes. A2AR antagonists (including istradefylline) are clinically available for other indications and cross the blood–brain barrier to varying degrees. Limitations of prior work include: lack of cell-type resolved mapping of A2AR in choroid plexus (CP), absence of an integrated mechanistic link from A2AR activation to acute transporter trafficking and later transcriptional changes, limited CP-specific pharmacology or receptor-occupancy (RO) data, sparse targeted phospho-proteomic validation of SPAK substrates in CP, and little preclinical PK/PD linking of brain/CP exposure to physiological CSF outcomes. Existing hydrocephalus models and imaging endpoints have not been systematically combined with receptor-specific PD and RO measurements to support translation.</w:t>
      </w:r>
    </w:p>
    <w:p>
      <w:r>
        <w:t xml:space="preserve"> </w:t>
      </w:r>
    </w:p>
    <w:p>
      <w:pPr>
        <w:pStyle w:val="Heading2"/>
      </w:pPr>
      <w:r>
        <w:t>Abstract</w:t>
      </w:r>
    </w:p>
    <w:p>
      <w:r>
        <w:t>Hydrocephalus with ventriculomegaly may be driven by excessive CSF production from the choroid plexus (CP) after brain injury. We propose to test whether aberrant adenosine A2A receptor (A2AR) signaling in CP epithelial cells causally increases CSF secretion and ventricular enlargement through two parallel mechanisms: a rapid PI3K/AKT→SPAK phosphorylation pathway that alters transporter trafficking and acute ion flux, and a slower NF-κB→ATP1A2 transcriptional program that increases Na+/K+-ATPase expression. We will combine cell-resolved mapping of A2AR, CP-targeted genetic and viral tools, in vitro CP electrophysiology (Ussing chamber, rubidium flux), targeted phospho-proteomics, ChIP for NF-κB on ATP1A2 regulatory regions, and two rodent hydrocephalus models (kaolin and intraventricular hemorrhage). Pharmacology (istradefylline) and receptor-occupancy (RO) with PK/PD will link exposure to effect. The main contribution is an explicit causal pathway connecting A2AR activation to CSF hypersecretion and a preclinical evaluation of A2AR antagonism as a repurposing candidate. Expected outcome: demonstration of pathway-specific acute versus chronic mechanisms and quantification of therapeutic window for A2AR blockade.</w:t>
      </w:r>
    </w:p>
    <w:p>
      <w:r>
        <w:t xml:space="preserve"> </w:t>
      </w:r>
    </w:p>
    <w:p>
      <w:pPr>
        <w:pStyle w:val="Heading2"/>
      </w:pPr>
      <w:r>
        <w:t>Methodology</w:t>
      </w:r>
    </w:p>
    <w:p>
      <w:r>
        <w:t>1) Expression mapping: Isolate choroid plexus (CP) from adult and neonatal rodents and from available human donors. Perform single-nucleus RNA-seq (snRNA-seq) to map ADORA2A (A2AR) expression by cell cluster. Validate spatially by RNAscope (single-molecule RNA in situ) and immunohistochemistry (IHC) for A2AR co-labeled with epithelial markers (TTR, AQP1). 2) CP targeting validation: Cross Ttr-Cre with Ai14 reporter mice and test lateral ventricle AAV-Cre serotype/dose panel (AAV2/5, AAV9, PHP.eB). Quantify percent reporter+ cells that are epithelial by confocal whole-mount and FACS-sorted RT-qPCR. 3) In vitro functional assays: Culture primary CP epithelial monolayers and 3D organoids. Measure transport with Ussing chamber (short-circuit current, ouabain-sensitive current) and Rb+ flux (rubidium as a potassium surrogate). Perform surface biotinylation and confocal imaging to quantify membrane ATP1A2 (Na+/K+-ATPase) levels. 4) Perturbations and timecourse: Apply A2AR agonist (CGS21680) and antagonist (istradefylline). Sample signaling at 0, 5, 15, 30, 60, 120 min for p-AKT and p-SPAK (phosphorylation) and NF-κB nuclear translocation; sample at 6, 12, 24 h for ATP1A2 mRNA/protein and membrane localization. Use PI3K/AKT inhibitors, NF-κB/IKK inhibitors, SPAK knockdown/kinase-dead rescue, and ATP1A2 promoter luciferase reporters with κB site mutations. 5) Phospho-proteomics: Enrich phosphorylated peptides (TiO2/IMAC), run discovery LC-MS/MS (TMT or label-free) and validate SPAK-dependent sites by PRM targeted MS. 6) In vivo models and endpoints: Induce hydrocephalus via kaolin (adult) and IVH (neonatal/adult). Measure CSF production by ventriculo-cisternal perfusion (quantitative flow), ventricular volume by longitudinal MRI volumetry (ventricle:brain ratio), and intracranial pressure (ICP) telemetry. Collect CP tissue at aligned PK/PD timepoints. 7) PK/PD and RO: Dose istradefylline PO (1, 3, 10 mg/kg) and ICV as needed. Sample plasma, CSF, whole brain and microdissected CP for total and unbound drug (equilibrium dialysis) and analyze by LC-MS/MS. Determine receptor occupancy via ex vivo radioligand displacement on brain and CP. 8) Analysis and quality: Predefine go/no-go and endpoints, randomize and blind, use linear mixed-effects for longitudinal data, adjust multiplicity (FDR).</w:t>
      </w:r>
    </w:p>
    <w:p>
      <w:r>
        <w:t xml:space="preserve"> </w:t>
      </w:r>
    </w:p>
    <w:p>
      <w:pPr>
        <w:pStyle w:val="Heading2"/>
      </w:pPr>
      <w:r>
        <w:t>Experiments</w:t>
      </w:r>
    </w:p>
    <w:p>
      <w:r>
        <w:t>1) Datasets and cohorts: Adult rats and mice: n=8–10 per group for MRI endpoints, n=12 per group for CSF production/ICP; neonatal cohorts +25% for attrition. Human CP donor tissue: n=3–6 donors for snRNA/sn and RNAscope validation. 2) Arms and baseline groups: vehicle, A2AR agonist (in vitro only), istradefylline low/medium/high (PO 1/3/10 mg/kg), CP-targeted A2AR conditional KO (A2ARfl/fl × Ttr-Cre or AAV-Cre), PI3K/AKT inhibitor arm, NF-κB inhibitor arm, SPAK knockdown/rescue arm. 3) Primary evaluation metrics: CSF production rate (µL/min from ventriculo-cisternal perfusion), ventricular volume (mm3 and ventricle:brain ratio from MRI), ICP (mmHg time-series). Secondary molecular metrics: p-AKT/ p-SPAK (relative densitometry or PRM quantification), ATP1A2 mRNA (qPCR fold change) and protein (surface fraction %), Ussing chamber ouabain-sensitive current (µA/cm2), Rb+ flux (% change), receptor occupancy (%) and unbound brain concentration (ng/mL or nM). 4) Baselines and controls: compare istradefylline to vehicle and to genetic A2AR deletion. Include A1 and A2B expression assays and at least one A1/A2B antagonist control arm if compensation observed. 5) Timepoints: acute signaling 0–120 min, transcription/trafficking 6–24 h, physiological imaging 24–72 h, day 7 and day 14. 6) Statistical tests: linear mixed-effects for longitudinal outcomes with animal as random effect, baseline as covariate; group comparisons by ANOVA with post-hoc tests; multiplicity controlled by FDR for secondary endpoints. Report effect sizes, 95% CI, and p-values. 7) Comparison/ablation studies: (A) SPAK ablation vs NF-κB inhibition: measure acute (30–120 min) transport change—expect SPAK KD to block rapid current changes but not ATP1A2 transcription; NF-κB inhibition should block later ATP1A2 mRNA/protein changes but not necessarily acute currents. (B) Istradefylline vs A2AR KO: compare RO-normalized exposures and physiological endpoints to separate pharmacologic off-target effects. 8) Replicates and QC: molecular n≥3, functional n≥6 per group; all assays randomized and blinded; antibody specificity confirmed by peptide competition and PRM where possible.</w:t>
      </w:r>
    </w:p>
    <w:p>
      <w:r>
        <w:t xml:space="preserve"> </w:t>
      </w:r>
    </w:p>
    <w:p>
      <w:pPr>
        <w:pStyle w:val="Heading2"/>
      </w:pPr>
      <w:r>
        <w:t>Risk Factors And Limitations</w:t>
      </w:r>
    </w:p>
    <w:p>
      <w:r>
        <w:t>1) Human tissue variability: donor heterogeneity, postmortem delay, and low CP cellularity can reduce snRNA signal and bias localization of A2AR. 2) Antibody specificity: phospho-antibodies (p-SPAK) may cross-react or lack sensitivity, forcing reliance on mass spectrometry which is slower and costlier. 3) CP targeting specificity: Ttr-Cre or AAV serotypes may give &lt;100% epithelial specificity; residual expression in stromal/immune cells (up to ~30%) could confound causal attribution. 4) Pharmacology and exposure: required rodent unbound brain exposures for efficacy may exceed safe human exposures for istradefylline, limiting translational relevance. 5) Off-target receptor effects: istradefylline or other tools may have off-targets (A1/A2B or non-adenosine targets) that alter cardiovascular or behavioral readouts and confound interpretation. 6) Model limitations: kaolin and IVH models may not fully recapitulate human hydrocephalus mechanisms or time courses, limiting generalization. 7) Neonatal sampling constraints: small CSF volumes and welfare limitations reduce ability to perform serial nonterminal measures in neonates. 8) Assay sensitivity and variance: functional assays (Ussing, CSF production, ICP) have higher variance and may require larger groups than planned, risking underpowered comparisons. 9) Causal separation challenge: acute trafficking and chronic transcription effects can overlap temporally in vivo, complicating clear attribution to SPAK versus NF-κB mechanisms. 10) Data sharing and reproducibility limits: heterogeneity in reagent lots, incomplete metadata, or delayed deposition of raw data could impair reproducibility and independent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