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laboratory_testing_errors_sigma_analysis</w:t>
      </w:r>
    </w:p>
    <w:p>
      <w:r>
        <w:t xml:space="preserve"> </w:t>
      </w:r>
    </w:p>
    <w:p>
      <w:pPr>
        <w:pStyle w:val="Heading2"/>
      </w:pPr>
      <w:r>
        <w:t>Title</w:t>
      </w:r>
    </w:p>
    <w:p>
      <w:r>
        <w:t>Three‑Year Retrospective DPMO and Six Sigma Analysis of Laboratory Testing Errors Across Pre‑analytical, Analytical, and Post‑analytical Phases in a General Hospital</w:t>
      </w:r>
    </w:p>
    <w:p>
      <w:r>
        <w:t xml:space="preserve"> </w:t>
      </w:r>
    </w:p>
    <w:p>
      <w:pPr>
        <w:pStyle w:val="Heading2"/>
      </w:pPr>
      <w:r>
        <w:t>Short Hypothesis</w:t>
      </w:r>
    </w:p>
    <w:p>
      <w:r>
        <w:t>In the hospital's three-year error records, the pre-analytical phase has a higher defect rate (DPMO) than the analytical and post-analytical phases.</w:t>
      </w:r>
    </w:p>
    <w:p>
      <w:r>
        <w:t xml:space="preserve"> </w:t>
      </w:r>
    </w:p>
    <w:p>
      <w:pPr>
        <w:pStyle w:val="Heading2"/>
      </w:pPr>
      <w:r>
        <w:t>Related Work</w:t>
      </w:r>
    </w:p>
    <w:p>
      <w:r>
        <w:t>Prior studies of laboratory testing errors typically use retrospective descriptive analyses and Six Sigma (DPMO→sigma) metrics to summarize errors across pre‑analytical, analytical, and post‑analytical phases. Common approaches rely on voluntary incident reports or single-source LIS logs and apply deterministic linkage or simple aggregations. Key limitations include inconsistent error taxonomies, variable definitions of "opportunity" (denominator), underreporting bias from voluntary systems, inadequate treatment of linkage uncertainty, sparse methods for rare but high‑harm events, and limited use of clustered count models that account for ward/instrument clustering. Few studies combine probabilistic linkage with formal multiple‑imputation of links or nest bootstrap uncertainty across linkage draws. Operational governance, reproducible ETL, and standardized adjudication codebooks are often underdeveloped, reducing comparability and reproducibility of DPMO/sigma estimates.</w:t>
      </w:r>
    </w:p>
    <w:p>
      <w:r>
        <w:t xml:space="preserve"> </w:t>
      </w:r>
    </w:p>
    <w:p>
      <w:pPr>
        <w:pStyle w:val="Heading2"/>
      </w:pPr>
      <w:r>
        <w:t>Abstract</w:t>
      </w:r>
    </w:p>
    <w:p>
      <w:r>
        <w:t>Laboratory testing errors threaten patient safety but are variably measured and reported. We propose a reproducible, data‑driven approach to quantify and compare defect rates across pre‑analytical, analytical, and post‑analytical phases using three years of hospital error records, LIS/QC logs, incident reports, and sentinel observational audits. The method uses a single primary denominator rule (one opportunity per test per phase) with sensitivity definitions, deterministic then Fellegi–Sunter probabilistic linkage, and multiple linkage imputation (30–50 draws) to propagate linkage uncertainty. For each linkage draw we compute defects per million opportunities (DPMO), convert to sigma (option to report 1.5σ shift and no‑shift), and obtain bootstrap confidence intervals (≥2000 reps). We model counts with negative binomial mixed‑effects regression using offsets and random intercepts for ward and instrument, and apply ITS and EWMA/CUSUM for monitoring. The main contribution is a transparent pipeline that jointly quantifies reporting bias, linkage uncertainty, and sigma uncertainty, producing robust estimates to guide prioritized quality‑improvement actions.</w:t>
      </w:r>
    </w:p>
    <w:p>
      <w:r>
        <w:t xml:space="preserve"> </w:t>
      </w:r>
    </w:p>
    <w:p>
      <w:pPr>
        <w:pStyle w:val="Heading2"/>
      </w:pPr>
      <w:r>
        <w:t>Methodology</w:t>
      </w:r>
    </w:p>
    <w:p>
      <w:r>
        <w:t>1) Data assembly: extract three years of incident reports, LIS result logs, rejected‑specimen records, instrument QC logs, and sentinel audit observations. ETL will map local codes to LOINC/SNOMED and produce a versioned data dictionary and codebook defining the three phases and subcodes (e.g., patient identification, labeling, transport, hemolysis, instrument QC failure, reporting errors). 2) Deterministic linkage: first pass match using exact specimen_id + patient_hash + timestamp ±30 minutes. 3) Probabilistic linkage: apply Fellegi–Sunter probabilistic linkage for incomplete keys with blocking (patient_hash + date + location) and compute posterior match probabilities. 4) Clerical calibration: review a stratified clerical sample (~400–500 pairs, oversampling 0.80–0.95 band) to estimate false‑match rates and calibrate thresholds. 5) Multiple linkage imputation: generate M = 30–50 probabilistic link draws by sampling matches according to posterior probabilities; each draw yields a complete linked dataset. 6) Per‑draw analysis and bootstrap: for each linkage draw, compute DPMO by phase and specimen source under primary and sensitivity denominators; run B = 2000–5000 bootstrap replicates (resample records with cluster awareness) to estimate within‑draw variances and bootstrap CIs for DPMO and sigma. Convert DPMO to sigma via z = Φ^{-1}(1 − DPMO/1e6) and optionally apply a 1.5σ process shift (sigma = z + 1.5). 7) Pooling across draws: combine per‑draw point estimates and variances using Rubin’s rules to produce final point estimates and total variance decomposed into within‑ and between‑linkage components. 8) Modeling and monitoring: fit negative binomial mixed‑effects models for defect counts with offset = log(opportunities), random intercepts for ward and instrument, and pre‑specified predictors; perform diagnostics, compare Poisson/zero‑inflated variants, and run ITS and EWMA/CUSUM charts on aggregated monthly rates. 9) Reproducibility: implement all analysis in versioned scripts (R/Python), fixed seeds, containerized runtime (Docker), and document ETL/provenance logs.</w:t>
      </w:r>
    </w:p>
    <w:p>
      <w:r>
        <w:t xml:space="preserve"> </w:t>
      </w:r>
    </w:p>
    <w:p>
      <w:pPr>
        <w:pStyle w:val="Heading2"/>
      </w:pPr>
      <w:r>
        <w:t>Experiments</w:t>
      </w:r>
    </w:p>
    <w:p>
      <w:r>
        <w:t>Datasets: (A) Three years of hospital incident reports, LIS result tables, rejected specimen logs, instrument QC logs; (B) Sentinel observational audit dataset stratified by ED, inpatient, outpatient (n=200–300 per stratum); (C) Clerical gold‑standard sample (n=400–500 candidate pairs). Baselines: (1) reported‑only rates (no linkage), (2) deterministic linkage only, (3) probabilistic linkage with single best match, (4) probabilistic linkage with match‑probability weighting. Primary metrics: DPMO per phase and specimen source, sigma point estimate, 95% CI for sigma, ICC (intra‑class correlation) from mixed models, model fit AIC/BIC, and EWMA/CUSUM alarm counts. Experimental setup: generate M=20,30,50 linkage draws; for each draw run bootstrap B=2000 and B=5000 replicates; use fixed random seeds and Dockerized environment; parallelize per-draw bootstraps across nodes. Ablation studies: (A) pooling order: bootstrap inside each draw + Rubin pooling versus nested bootstrap across draws; (B) sigma conversion: no 1.5σ shift versus 1.5σ shift; (C) linkage configuration: thresholds auto‑accept ≥0.95 vs clerical band 0.80–0.95; (D) modeling: negative binomial mixed model versus Poisson with robust SEs and zero‑inflated mixed model. Evaluation: compare point estimates, 95% CI widths, decomposition of variance (within vs between linkage), false‑match rate estimated from clerical sample, stability of rare‑event estimates across draws, and sensitivity of QI triggers (number of EWMA/CUSUM alarms) across methods.</w:t>
      </w:r>
    </w:p>
    <w:p>
      <w:r>
        <w:t xml:space="preserve"> </w:t>
      </w:r>
    </w:p>
    <w:p>
      <w:pPr>
        <w:pStyle w:val="Heading2"/>
      </w:pPr>
      <w:r>
        <w:t>Risk Factors And Limitations</w:t>
      </w:r>
    </w:p>
    <w:p>
      <w:r>
        <w:t>1) Underreporting bias: voluntary incident reports may miss many pre‑analytical errors; sentinel audits may not fully correct bias. 2) Informative missingness: missing specimen_id or PHI may correlate with error type or location, producing nonrandom linkage failure. 3) Linkage misclassification: probabilistic linkage can still produce false matches or missed matches; calibration depends on clerical sample representativeness. 4) Computational cost: M=30–50 linkage draws combined with B=2000–5000 bootstraps is computationally intensive and may exceed available resources. 5) Rare events: very low frequency high‑harm events yield unstable DPMO and sigma estimates and may require pooling or Bayesian shrinkage; direct CI coverage may be poor. 6) Model misspecification: mixed models assume correct random‑effects structure; misspecification or overdispersion/zero inflation may bias inference. 7) Generalizability: methods and parameter choices (e.g., thresholds, 1.5σ shift) may not transfer to other hospitals with different workflows. 8) Privacy/regulatory constraints: clerical review requires PHI access and may be limited by IRB/DUA terms. 9) Small‑n suppression: necessary privacy suppression can reduce visibility into rare but important strata. 10) Interpretation: the 1.5σ process shift is a convention and may change sigma interpretation for QI audiences.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