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iot_healthcare_weighted_meta_review</w:t>
      </w:r>
    </w:p>
    <w:p>
      <w:r>
        <w:t xml:space="preserve"> </w:t>
      </w:r>
    </w:p>
    <w:p>
      <w:pPr>
        <w:pStyle w:val="Heading2"/>
      </w:pPr>
      <w:r>
        <w:t>Title</w:t>
      </w:r>
    </w:p>
    <w:p>
      <w:r>
        <w:t>Weighted and Random-Effects Meta-Analytical Review of Theoretical Frameworks and Predictors of Internet of Things Adoption in Health Care</w:t>
      </w:r>
    </w:p>
    <w:p>
      <w:r>
        <w:t xml:space="preserve"> </w:t>
      </w:r>
    </w:p>
    <w:p>
      <w:pPr>
        <w:pStyle w:val="Heading2"/>
      </w:pPr>
      <w:r>
        <w:t>Short Hypothesis</w:t>
      </w:r>
    </w:p>
    <w:p>
      <w:r>
        <w:t>Higher perceived interoperability, greater perceived usefulness (performance expectancy), and stronger social influence cause increased actual adoption/use of IoT technologies by healthcare stakeholders.</w:t>
      </w:r>
    </w:p>
    <w:p>
      <w:r>
        <w:t xml:space="preserve"> </w:t>
      </w:r>
    </w:p>
    <w:p>
      <w:pPr>
        <w:pStyle w:val="Heading2"/>
      </w:pPr>
      <w:r>
        <w:t>Related Work</w:t>
      </w:r>
    </w:p>
    <w:p>
      <w:r>
        <w:t>Existing reviews and primary studies identify barriers and facilitators to IoT adoption in healthcare, with frequent emphasis on social influence, perceived usefulness/attitude, privacy/trust, and interoperability. Prior syntheses are mainly narrative or use simple vote-counting and often mix adjusted and zero-order effects inconsistently. Limitations include unclear inclusion rules for clinically relevant IoT, inconsistent handling of dependent effects and overlapping samples, sparse use of multivariate meta-analysis (which models correlations among predictors), limited reliability (attenuation) corrections, ad hoc weight analyses without a prespecified algorithm, and weak preregistration of decision rules. Publication-bias methods and minimum-k rules are often omitted or applied inconsistently. These gaps reduce reproducibility, impede ranking of predictors by practical influence, and leave uncertainty about which theoretical frameworks robustly explain adoption.</w:t>
      </w:r>
    </w:p>
    <w:p>
      <w:r>
        <w:t xml:space="preserve"> </w:t>
      </w:r>
    </w:p>
    <w:p>
      <w:pPr>
        <w:pStyle w:val="Heading2"/>
      </w:pPr>
      <w:r>
        <w:t>Abstract</w:t>
      </w:r>
    </w:p>
    <w:p>
      <w:r>
        <w:t>We propose a preregistered, methods-focused quantitative synthesis that combines a formal weight-analysis and random-effects meta-analysis to identify which theoretical frameworks and predictors explain adoption of Internet of Things (IoT) technologies in healthcare. We will run systematic searches (2000–present) across major databases, apply strict clinical IoT inclusion rules, extract zero-order correlations as the primary effect metric, and use multivariate meta-analysis (or multilevel random-effects with robust variance estimation when needed) to pool effects while modeling dependent outcomes. Our weight-analysis algorithm produces a composite influence score that integrates frequency, sample-size-weighted effect magnitude, and study quality. Main contributions are (1) a prespecified weight-analysis algorithm and thresholds for influence, (2) reproducible rules for deduplication, adjusted-estimate handling, and reliability corrections, and (3) integrated bias-adjusted pooled estimates that rank predictors by practical influence. Expected outcome: a transparent list of influential predictors and framework mappings to guide research and clinical implementation decisions.</w:t>
      </w:r>
    </w:p>
    <w:p>
      <w:r>
        <w:t xml:space="preserve"> </w:t>
      </w:r>
    </w:p>
    <w:p>
      <w:pPr>
        <w:pStyle w:val="Heading2"/>
      </w:pPr>
      <w:r>
        <w:t>Methodology</w:t>
      </w:r>
    </w:p>
    <w:p>
      <w:r>
        <w:t>1) Search and eligibility: run systematic searches in PubMed/MEDLINE, Embase, Scopus, Web of Science, and IEEE Xplore for 2000–present; include peer-reviewed journal articles and conference proceedings in English reporting quantitative empirical data on medically oriented IoT used by healthcare stakeholders or in clinically simulated tasks; exclude consumer-only and engineering-only lab studies. 2) Outcomes: classify outcomes into Tier1 (objective actual use, e.g., logs), Tier2 (self-reported intention/acceptance), Tier3 (clinical/process outcomes); extract all effects but choose highest tier as primary per study. 3) Extraction and construct mapping: extract verbatim items, scale anchors, Cronbach’s alpha, reported statistics, covariances where available, and full adjustment sets; map predictors to a controlled vocabulary (performance expectancy, effort expectancy, social influence, facilitating conditions, trust/privacy, interoperability, compatibility, cost, workload, training). 4) Weight-analysis algorithm (predefined): compute three components per predictor: A) frequency = proportion of eligible studies that test the predictor; B) effect component = scaled sample-size-weighted mean absolute r (scale to 0–1 where 0.30 maps to 1); C) quality weight = mean study quality score (0–1) where quality is derived from RoB adaptation. Composite influence score = 0.4*frequency + 0.4*effect_component + 0.2*quality_weight. A predictor is labeled "influential" if (i) composite score ≥0.60, (ii) appears in ≥5 independent studies, (iii) sample-size-weighted mean |r|≥0.10, and (iv) ≥60% of studies report effects in the expected direction. 5) Effect harmonization rules: primary analysis uses observed zero-order Pearson r (Fisher z transformed). If zero-order r is unavailable after two author contact attempts over four weeks, adjusted estimates are converted to r and used only in sensitivity analyses. Reliability (Cronbach’s alpha) correction (classical attenuation correction r_corrected = r_observed / sqrt(rel_x * rel_y)) will be applied in preplanned sensitivity analyses only; primary pooled estimates remain uncorrected. 6) Deduplication and overlap: automatic linkage on DOI/PMID exact match; if DOI/PMID missing, flag pairs for manual review when author last-name prefix (first 3 letters) matches AND year ±1 AND sample size ±10% OR institution match; automatic clustering only for exact DOI/PMID matches. Manual adjudication required for fuzzy matches. 7) Meta-analysis model: use multivariate random-effects meta-analysis (mvmeta/metaSEM) when within-study covariances are available; otherwise use multilevel random-effects with robust variance estimation (RVE) and cluster IDs for study/sample/effect. Estimate τ² using REML (a variance estimator; it estimates between-study variance) and compute Hartung-Knapp confidence intervals (a robust CI method). 8) Moderators and thresholds: prespecified moderators: outcome tier, study design, stakeholder type, device class, interoperability/integration. Require k≥10 independent studies for meta-regression and k≥5 per subgroup for subgroup tests. Control multiple testing with Benjamini-Hochberg FDR. 9) Publication bias: for k&lt;10 present qualitative assessment; 10≤k&lt;20 run Egger/Peters and PET-PEESE (bias tests estimating small-study effects); k≥20 also fit selection models (weight-function) and compare adjusted vs unadjusted estimates. 10) Risk-of-bias and grading: apply RoB2/ROBINS-I where relevant and an adapted AXIS/NOS for cross-sectional studies; use a GRADE-style adaptation to rate certainty and document downgrading/upgrading decisions with thresholds. 11) Reproducibility: prepare R scripts (metafor, mvmeta, robumeta, clubSandwich), unit-tested conversion functions, and a Docker image; archive codebook, extraction files, and analysis artifacts on OSF/GitHub/Zenodo (CC-BY).</w:t>
      </w:r>
    </w:p>
    <w:p>
      <w:r>
        <w:t xml:space="preserve"> </w:t>
      </w:r>
    </w:p>
    <w:p>
      <w:pPr>
        <w:pStyle w:val="Heading2"/>
      </w:pPr>
      <w:r>
        <w:t>Experiments</w:t>
      </w:r>
    </w:p>
    <w:p>
      <w:r>
        <w:t>1) Data collection: compile the full set of eligible studies from the systematic search (2000–present) and extract required fields; expected data = study-level records with zero-order r or convertible statistics. 2) Baselines: A) unweighted frequency ranking (count of studies per predictor), B) vote-counting by statistical significance (proportion significant), C) inverse-variance-weighted meta-analysis (standard random-effects pooled r) without multivariate modeling. 3) Main analysis: compute composite weight scores per predictor and label influential predictors per prespecified threshold. Pool zero-order rs using multivariate random-effects meta-analysis when covariances available; otherwise use multilevel RVE. Report pooled r (Fisher z back-transformed), 95% CI, τ², I², and 95% prediction intervals. 4) Publication-bias adjustment: run PET-PEESE and selection models where k thresholds permit and present both adjusted and unadjusted pooled estimates. 5) Moderator tests: run meta-regressions (k≥10) for the prespecified moderators (outcome tier, stakeholder, device class, integration). 6) Ablation/comparisons: (a) Weight-algorithm comparison: run three weight methods — (i) sample-size-weighted frequency, (ii) inverse-variance-weighted effect magnitude, (iii) composite score defined above — and compute rank concordance (Spearman rho) with pooled effect sizes; (b) Adjustment inclusion test: compare primary pooled results (zero-order only) vs pooled results that include converted adjusted estimates, using adjustment-status as moderator; (c) Reliability test: compare primary uncorrected pooled estimates vs pooled estimates after attenuation correction. 7) Evaluation metrics: pooled r and 95% CI, τ² (between-study variance), I² (% heterogeneity), 95% prediction interval, proportion of studies with expected-direction effects, composite influence score, Spearman rank correlation between weight ranks and pooled effect ranks, changes in pooled estimates after bias adjustment. 8) Statistical constraints: enforce minimum k rules (meta-regression k≥10; subgroup k≥5). Use two-sided tests and report exact p-values, but emphasize effect sizes and intervals over p-values. 9) Reproducibility output: publish data tables of extracted effects, conversion provenance, analysis scripts, and Docker image.</w:t>
      </w:r>
    </w:p>
    <w:p>
      <w:r>
        <w:t xml:space="preserve"> </w:t>
      </w:r>
    </w:p>
    <w:p>
      <w:pPr>
        <w:pStyle w:val="Heading2"/>
      </w:pPr>
      <w:r>
        <w:t>Risk Factors And Limitations</w:t>
      </w:r>
    </w:p>
    <w:p>
      <w:r>
        <w:t>1) Small-k and sparse predictors: many predictors may appear in fewer than 5 studies, preventing reliable meta-analysis and meta-regression. 2) Publication and reporting bias: selective reporting of significant predictors and missing zero-order statistics may bias pooled estimates. 3) Heterogeneity: clinical and methodological differences across studies (settings, device classes, stakeholder roles) may produce high heterogeneity (I²) that limits generalization. 4) Measurement reliability: missing or low Cronbach’s alpha values reduce confidence in pooled correlations and complicate attenuation corrections. 5) Adjusted-to-zero-order conversions: converting standardized betas or odds ratios to r can introduce approximation error when original data are not available. 6) Overlap/deduplication errors: fuzzy matching may yield false positives/negatives in linking overlapping samples, affecting independence assumptions. 7) Language and grey-literature bias: English-only inclusion and exclusion of much grey literature can omit relevant studies. 8) Model misspecification: multivariate models require within-study covariances that are often unavailable, forcing RVE fallbacks that may be less efficient. 9) Computational limits: complex multivariate models and selection-model bias adjustments can be computationally intensive for large datasets. 10) Causal inference limits: meta-analysis of observational studies cannot prove causation; pooled associations may reflect confounding or reverse causation.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