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thai_red_cross_lab_errors_2021_2023</w:t>
      </w:r>
    </w:p>
    <w:p>
      <w:r>
        <w:t xml:space="preserve"> </w:t>
      </w:r>
    </w:p>
    <w:p>
      <w:pPr>
        <w:pStyle w:val="Heading2"/>
      </w:pPr>
      <w:r>
        <w:t>Title</w:t>
      </w:r>
    </w:p>
    <w:p>
      <w:r>
        <w:t>Retrospective descriptive analysis of laboratory testing errors using DPMO and Six Sigma metrics across pre-analytical, analytical, and post-analytical phases in a Thai Red Cross Society general hospital (2021–2023)</w:t>
      </w:r>
    </w:p>
    <w:p>
      <w:r>
        <w:t xml:space="preserve"> </w:t>
      </w:r>
    </w:p>
    <w:p>
      <w:pPr>
        <w:pStyle w:val="Heading2"/>
      </w:pPr>
      <w:r>
        <w:t>Short Hypothesis</w:t>
      </w:r>
    </w:p>
    <w:p>
      <w:r>
        <w:t>In the 2021–2023 laboratory records from the Thai Red Cross general hospital, the pre-analytical phase has a higher defect rate (DPMO) than the analytical or post-analytical phases.</w:t>
      </w:r>
    </w:p>
    <w:p>
      <w:r>
        <w:t xml:space="preserve"> </w:t>
      </w:r>
    </w:p>
    <w:p>
      <w:pPr>
        <w:pStyle w:val="Heading2"/>
      </w:pPr>
      <w:r>
        <w:t>Related Work</w:t>
      </w:r>
    </w:p>
    <w:p>
      <w:r>
        <w:t>Prior studies have used retrospective laboratory error logs, descriptive statistics, and Six Sigma conversions (DPMO → sigma) to summarize testing quality. Existing approaches commonly report overall error rates but vary in how they define the denominator (per test, per specimen, per patient), leading to inconsistent comparability. Other limitations include unstable sigma estimates for small strata, limited use of validated record-linkage methods, sparse adjudication with low inter-rater reliability for complex events, inadequate handling of unlinked records and missing metadata, and weak integration of human-factors measures. Many prior analyses also omit prespecified sensitivity analyses for linkage and do not provide reproducible ETL/linkage code or uncertainty quantification for sigma beyond point estimates.</w:t>
      </w:r>
    </w:p>
    <w:p>
      <w:r>
        <w:t xml:space="preserve"> </w:t>
      </w:r>
    </w:p>
    <w:p>
      <w:pPr>
        <w:pStyle w:val="Heading2"/>
      </w:pPr>
      <w:r>
        <w:t>Abstract</w:t>
      </w:r>
    </w:p>
    <w:p>
      <w:r>
        <w:t>This study analyzes laboratory error records from 2021–2023 at a Thai Red Cross Society general hospital to quantify error types and frequencies across pre-analytical, analytical, and post-analytical phases and by specimen source. We derive clear, LIS-based denominators: one accession/test-result for overall metrics, specimen-collection events for pre-analytical, instrument test events for analytical, and result-release actions for post-analytical. We apply deterministic then probabilistic linkage to join logs, use a safety-prioritized defect taxonomy that records multiple labels but counts a single primary defect per opportunity, and run an adjudication pilot with inter-rater reliability targets. We compute defects-per-million-opportunities (DPMO), convert to sigma (reporting both raw Z and +1.5 long-term shift), and quantify uncertainty with exact Poisson intervals for DPMO and bootstrap intervals for sigma. Prespecified sensitivity analyses handle unlinked records and rare defects. Expected outcomes are reproducible phase-specific error rates, validated linkage performance, and prioritized targets for PDSA interventions to reduce preventable laboratory errors.</w:t>
      </w:r>
    </w:p>
    <w:p>
      <w:r>
        <w:t xml:space="preserve"> </w:t>
      </w:r>
    </w:p>
    <w:p>
      <w:pPr>
        <w:pStyle w:val="Heading2"/>
      </w:pPr>
      <w:r>
        <w:t>Methodology</w:t>
      </w:r>
    </w:p>
    <w:p>
      <w:r>
        <w:t>1) Data extraction: pull LIS accession rows, specimen collection logs, instrument_test_event logs, result_release logs, and available collector/ward/device metadata for 2021–2023. 2) Define opportunities: overall = one accession row/test result; pre-analytical = unique specimen collection event (accession_id at collection_time); analytical = instrument_test_event rows linked to accession_id; post-analytical = result_release actions. 3) Defect taxonomy: record defect_primary and defect_secondary[]; assign primary using a safety-priority hierarchy (e.g., wrong-patient &gt; wrong-specimen &gt; insufficient volume &gt; hemolysis &gt; transport &gt; clot &gt; instrument/QC &gt; transcription &gt; critical-notify &gt; other). 4) Linkage: deterministic linkage first (exact accession or salted_hash(patient_id)+test_code+collection_time ±5 minutes). If no deterministic match, run probabilistic Fellegi–Sunter-style matcher (features: hashed ids, time difference, location, test_code). Persist join_confidence and provenance. 5) Adjudication: prepare a short manual, train reviewers 2–3 practice sessions, run a pilot of 60–100 records stratified to include rare/high-impact defects; compute Cohen’s kappa and percent agreement. 6) Error metrics: compute defects count and opportunities per stratum, DPMO = (defects/opportunities)×1,000,000. 7) Sigma and uncertainty: convert DPMO to sigma using standard normal inverse; report raw Z and shifted sigma = Z +1.5 (the +1.5 is a conventional long-term shift). Compute exact Poisson 95% CIs for defect counts and transform to DPMO; estimate sigma bootstrap 95% intervals with ≥1,000 resamples (seed PRNG for reproducibility). 8) Reporting rules: only report sigma for strata with ≥5,000 opportunities; otherwise report DPMO with CI and flag sigma unstable. 9) Sensitivity analyses: (A) exclude unlinked records, (B) best/worst-case assignments for unlinked, (C) probabilistic-weighted inclusion by join_confidence. 10) Monitoring: produce monthly p-charts/u-charts, Pareto of top defects, and store all code and SQL in a version-controlled repo. (Technical notes: DPMO = defects-per-million-opportunities; Fellegi–Sunter is a probabilistic record-linkage method that scores matches by weighted agreement on fields.)</w:t>
      </w:r>
    </w:p>
    <w:p>
      <w:r>
        <w:t xml:space="preserve"> </w:t>
      </w:r>
    </w:p>
    <w:p>
      <w:pPr>
        <w:pStyle w:val="Heading2"/>
      </w:pPr>
      <w:r>
        <w:t>Experiments</w:t>
      </w:r>
    </w:p>
    <w:p>
      <w:r>
        <w:t>Dataset: de-identified extracts from LIS accession table, specimen collection logs, instrument_test_event logs, and result_release records from 2021–01-01 to 2023-12-31. Include collector_id, ward, device_id, timestamps, specimen_source, test_code/LOINC where available. Baselines: (B1) unstratified per-test error rate computed using naive denominator (total reported defects / total reported results); (B2) per-patient aggregated error rate. Evaluations and metrics: per-phase DPMO and 95% Poisson CI, sigma (raw Z and +1.5 shifted) with 95% bootstrap intervals, rate ratios between phases with Poisson regression, linkage performance metrics (sensitivity, specificity, PPV, NPV) on a curated gold sample, IRR metrics (Cohen’s kappa, percent agreement), and ranking stability of top-5 defects. Experimental steps: 1) Link logs using deterministic ±5 min window; record unmatched. 2) Apply probabilistic matcher; accept matches ≥0.90, manual-review 0.70–0.90, reject &lt;0.70. 3) Curate gold sample of 300–500 manually linked records stratified to oversample rare defects (target &gt;=30 examples per rare class) to measure linkage PPV/NPV and choose deterministic tolerance. 4) Run adjudication pilot 60–100 records stratified by defect type; if kappa &lt;0.7 expand to 200. 5) Compute DPMO and sigma per phase, per specimen source, and per high-volume test; bootstrap sigma with 1,000 resamples (seeded). 6) Ablations: A) per-analyte denominator vs per-panel denominator outputs compared side-by-side; B) sigma reported with and without +1.5 shift; C) compare results when excluding vs probabilistic-weighted inclusion of unlinked records. 7) Statistical tests: compare phase DPMOs with Poisson regression (adjusted for clustering using mixed models) and report p-values and 95% CIs. 8) Reproducibility: publish analysis scripts, SQL, and a seed for bootstraps in private Git repo. Software: R (tidyverse, RecordLinkage/fastLink, binom, boot, glmmTMB) or equivalent. Hardware: standard workstation sufficient; bootstrap may run on multi-core CPU.</w:t>
      </w:r>
    </w:p>
    <w:p>
      <w:r>
        <w:t xml:space="preserve"> </w:t>
      </w:r>
    </w:p>
    <w:p>
      <w:pPr>
        <w:pStyle w:val="Heading2"/>
      </w:pPr>
      <w:r>
        <w:t>Risk Factors And Limitations</w:t>
      </w:r>
    </w:p>
    <w:p>
      <w:r>
        <w:t>1) Denominator mis-specification: ambiguous panel vs per-analyte counting may bias rates. 2) Linkage errors: deterministic/probabilistic matching may produce false matches or misses; unlinked records may bias estimates if non-random. 3) Small-strata instability: strata with few opportunities produce unstable sigma estimates and wide CIs. 4) Adjudication limits: low IRR for rare defect types if insufficient sample, reducing validity of primary-defect assignments. 5) Temporal/reporting confounding: changes in reporting practice, case-mix, or LIS configuration over 2021–2023 can masquerade as true rate changes. 6) Missing metadata: absent collector_id, timestamps, or specimen source reduces ability to attribute human-factors or phase-specific opportunities. 7) Overdispersion and zero-inflation: count models may be misspecified if overdispersion or many zeros exist. 8) Generalizability: results reflect one hospital's workflows and may not generalize to other settings. 9) Ethical and governance constraints: limited PHI access may restrict patient-harm linkage and RCA depth. 10) Compute/time: bootstrap and linkage validation require human curation and compute time; timelines may slip if manual review load is high.</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