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anion_gap_lactate_sepsis_ed</w:t>
      </w:r>
    </w:p>
    <w:p>
      <w:r>
        <w:t xml:space="preserve"> </w:t>
      </w:r>
    </w:p>
    <w:p>
      <w:pPr>
        <w:pStyle w:val="Heading2"/>
      </w:pPr>
      <w:r>
        <w:t>Title</w:t>
      </w:r>
    </w:p>
    <w:p>
      <w:r>
        <w:t>Albumin-corrected anion gap predicts elevated serum lactate in emergency department patients with sepsis without shock: a retrospective ROC and multivariable analysis</w:t>
      </w:r>
    </w:p>
    <w:p>
      <w:r>
        <w:t xml:space="preserve"> </w:t>
      </w:r>
    </w:p>
    <w:p>
      <w:pPr>
        <w:pStyle w:val="Heading2"/>
      </w:pPr>
      <w:r>
        <w:t>Short Hypothesis</w:t>
      </w:r>
    </w:p>
    <w:p>
      <w:r>
        <w:t>Higher albumin-corrected anion gap values measured on ED arrival increase the probability of having elevated serum lactate (&gt;2 mmol/L and &gt;4 mmol/L) in patients meeting sepsis criteria without shock.</w:t>
      </w:r>
    </w:p>
    <w:p>
      <w:r>
        <w:t xml:space="preserve"> </w:t>
      </w:r>
    </w:p>
    <w:p>
      <w:pPr>
        <w:pStyle w:val="Heading2"/>
      </w:pPr>
      <w:r>
        <w:t>Related Work</w:t>
      </w:r>
    </w:p>
    <w:p>
      <w:r>
        <w:t>Prior work has shown associations between anion gap (AG) and lactate in mixed sepsis cohorts and has used receiver operating characteristic (ROC) methods to identify cutoffs. Limitations in existing studies include small or mixed cohorts that include shock, inconsistent use of albumin correction, pooling of arterial and venous or point-of-care and central lab values without harmonization, limited handling of missing data and selection bias, sparse measurement-error quantification, and few studies reporting calibration or decision-curve clinical utility. Many prior cutoffs lack internal validation and robust uncertainty quantification (bootstrap, measurement-error simulation) and therefore have uncertain transportability.</w:t>
      </w:r>
    </w:p>
    <w:p>
      <w:r>
        <w:t xml:space="preserve"> </w:t>
      </w:r>
    </w:p>
    <w:p>
      <w:pPr>
        <w:pStyle w:val="Heading2"/>
      </w:pPr>
      <w:r>
        <w:t>Abstract</w:t>
      </w:r>
    </w:p>
    <w:p>
      <w:r>
        <w:t>We address whether anion gap measured at ED arrival predicts elevated serum lactate in patients diagnosed with sepsis who are not in shock. Using retrospective ED clinical and laboratory data, we compute raw AG and an albumin-corrected AG and evaluate discriminative performance for lactate &gt;2 mmol/L and &gt;4 mmol/L. Primary methods are ROC analysis with DeLong AUCs, bootstrap (2,000 resamples) to estimate confidence intervals for AUC and cutpoints, Youden and clinician-oriented thresholds (sensitivity-focused and specificity-focused), and internal validation with bootstrap optimism correction. We fit multivariable logistic models adjusting for age, sex, ED-derived SOFA, CKD, liver disease, diabetes, albumin, infection source and time-to-sample, modeling continuous predictors with splines and prespecifying AG×albumin and AG×CKD interactions. We will report calibration metrics and decision-curve net benefit. The main contribution is a reproducible, validated set of AG cutoffs with quantified uncertainty and clinical utility estimates to inform early lactate testing in non-shock sepsis in the ED.</w:t>
      </w:r>
    </w:p>
    <w:p>
      <w:r>
        <w:t xml:space="preserve"> </w:t>
      </w:r>
    </w:p>
    <w:p>
      <w:pPr>
        <w:pStyle w:val="Heading2"/>
      </w:pPr>
      <w:r>
        <w:t>Methodology</w:t>
      </w:r>
    </w:p>
    <w:p>
      <w:r>
        <w:t>Cohort selection: include ED encounters with suspected infection defined as new systemic antibiotic started within 6 hours of arrival AND at least one body-fluid culture ordered within ±6 hours. Exclude encounters with ICD-10 or NLP flags for DKA, hyperosmolar states, chronic dialysis/ESRD, metformin toxicity, chronic lactic acidosis, recent seizure, or major trauma. Data extraction: pull first sodium (Na), chloride (Cl), bicarbonate (HCO3), albumin, lactate, vitals, ED SOFA components, creatinine history, comorbidities, timestamps, specimen type (venous/arterial), and analyzer (POC/central). Compute AG = Na − (Cl + HCO3) and albumin-corrected AG (AGcorr = AG + 2.5 × (4.0 − albumin[g/dL])). Primary timing window: first AG and first lactate within 60 minutes of arrival. ROC analysis: for outcomes lactate &gt;2 and &gt;4 mmol/L compute AUC by DeLong and bootstrap (2,000 resamples) for CIs. Derive Youden-optimal cutoff and two clinician thresholds: sensitivity-focused (predefine sensitivity ≥90%) and specificity-focused (predefine specificity ≥90%). Multivariable modeling: fit logistic regression adjusted for prespecified covariates; model age and AGcorr with restricted cubic splines; report OR per 1 and per 5 mmol/L and plot predicted probabilities. Missing data: use MICE (multiple imputation by chained equations) including outcome and all predictors with number of imputations ≥ percent missing (min 20). Selection bias: estimate probability of having both AG and lactate drawn and compute stabilized inverse-probability weights (IPW); trim weights at 1st/99th percentiles. Measurement error: extract assay CVs and run Monte Carlo simulations perturbing AG and lactate by ±1–2 CVs (≥1,000 replicates) and combine with bootstrap to quantify cutpoint variability. Validation and calibration: internal validation via 1,000 bootstrap resamples for optimism-corrected AUC, calibration-in-the-large, calibration slope, Brier score, and calibration plots. Decision analysis: compute net benefit and expected test-positive counts per 1,000 patients across plausible prevalence ranges.</w:t>
      </w:r>
    </w:p>
    <w:p>
      <w:r>
        <w:t xml:space="preserve"> </w:t>
      </w:r>
    </w:p>
    <w:p>
      <w:pPr>
        <w:pStyle w:val="Heading2"/>
      </w:pPr>
      <w:r>
        <w:t>Experiments</w:t>
      </w:r>
    </w:p>
    <w:p>
      <w:r>
        <w:t>Datasets: 2-week pilot extraction from ED EHR to estimate prevalences and missingness; then full retrospective ED cohort per inclusion/exclusion rules across study period. Baselines: (1) null clinical model (age + ED-SOFA), (2) raw AG alone, (3) AGcorr alone, (4) AGcorr + covariates multivariable model. Outcomes: binary lactate &gt;2 mmol/L and lactate &gt;4 mmol/L. Evaluation metrics: AUC (DeLong), sensitivity, specificity, PPV, NPV, LR+, LR- with bootstrap (2,000) CIs, calibration-in-the-large, calibration slope, Brier score, and decision-curve net benefit. Internal validation: bootstrap optimism correction (1,000 resamples) for multivariable models. Sample-size rules: ensure ≥100 events for lactate &gt;4; if pilot prevalence ~10% aim for ~1,000 patients. Missingness experiments: run complete-case, MICE pooled, and delta-adjustment sensitivity. Selection-bias experiments: unweighted vs IPW-weighted analyses; report IPW diagnostics (weight histograms, effective sample size) and sensitivity to trimming (1st/99th vs cap=10). Measurement-error experiments: run Monte Carlo perturbation alone and combined with bootstrap; report distributions of AUCs and cutpoints. Ablation studies: (A) compare AGcorr vs raw AG for AUC and net benefit; (B) exclude albumin (simulate missing) to test impact; (C) stratify POC vs central and venous vs arterial as separate analyses; (D) test alternative albumin correction coefficients (2.0, 2.5, 3.0) and an empiric coefficient derived from a low-lactate subcohort. Clustering: fit mixed-effects logistic models with random intercept for site or epoch where applicable.</w:t>
      </w:r>
    </w:p>
    <w:p>
      <w:r>
        <w:t xml:space="preserve"> </w:t>
      </w:r>
    </w:p>
    <w:p>
      <w:pPr>
        <w:pStyle w:val="Heading2"/>
      </w:pPr>
      <w:r>
        <w:t>Risk Factors And Limitations</w:t>
      </w:r>
    </w:p>
    <w:p>
      <w:r>
        <w:t>Residual confounding from unmeasured severity or treatments may bias associations. Selection bias may persist if clinicians preferentially order lactate or electrolytes in certain patients despite IPW. Measurement error and heterogeneity across specimen types (arterial vs venous) and analyzers (POC vs central) can alter cutpoints. Missing albumin data may reduce ability to compute AGcorr and increase imputation reliance. Low event counts for lactate &gt;4 can limit model complexity and increase overfitting risk. EHR coding and NLP may misclassify exclusions (DKA, ESRD, toxins). Results may not generalize outside study sites or to populations with different lab methods or sepsis care pathways. Quantified uncertainty may remain wide, limiting decisiveness of proposed clinical thresholds.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