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triherbal_thromboinflammation_diabetic_rats</w:t>
      </w:r>
    </w:p>
    <w:p>
      <w:r>
        <w:t xml:space="preserve"> </w:t>
      </w:r>
    </w:p>
    <w:p>
      <w:pPr>
        <w:pStyle w:val="Heading2"/>
      </w:pPr>
      <w:r>
        <w:t>Title</w:t>
      </w:r>
    </w:p>
    <w:p>
      <w:r>
        <w:t>Evaluation of anti‑thromboinflammatory effects of a 1:1:1 aqueous blend of Moringa oleifera, Ocimum gratissimum, and Vernonia amygdalina in experimentally induced diabetic rats</w:t>
      </w:r>
    </w:p>
    <w:p>
      <w:r>
        <w:t xml:space="preserve"> </w:t>
      </w:r>
    </w:p>
    <w:p>
      <w:pPr>
        <w:pStyle w:val="Heading2"/>
      </w:pPr>
      <w:r>
        <w:t>Short Hypothesis</w:t>
      </w:r>
    </w:p>
    <w:p>
      <w:r>
        <w:t>Daily oral administration of a 1:1:1 aqueous extract of Moringa oleifera, Ocimum gratissimum, and Vernonia amygdalina at 150 mg/kg for 28 days reduces ADP‑induced maximal platelet aggregation by at least 25% and plasma IL‑6 by at least 30% versus diabetic vehicle controls.</w:t>
      </w:r>
    </w:p>
    <w:p>
      <w:r>
        <w:t xml:space="preserve"> </w:t>
      </w:r>
    </w:p>
    <w:p>
      <w:pPr>
        <w:pStyle w:val="Heading2"/>
      </w:pPr>
      <w:r>
        <w:t>Related Work</w:t>
      </w:r>
    </w:p>
    <w:p>
      <w:r>
        <w:t>Previous preclinical studies report that individual and combined extracts of Moringa, Ocimum and Vernonia can reduce inflammation, improve metabolic markers, and reduce thrombosis risk markers in rodent diabetes models. Limitations in prior work include poorly standardized extracts (no marker‑based dose normalization), inconsistent extraction or traceability, limited or absent PK/PD linkage, small and single‑sex cohorts, incomplete acute/subacute toxicology, inconsistent platelet sampling/assay handling (raising artifactual activation risk), and lack of prespecified multiplicity or power calculations. Many studies report efficacy signals but do not provide validated bioanalytical methods for key phytochemical markers or platelet‑associated exposure, limiting reproducibility and mechanistic interpretation. Thus, unresolved issues are reproducible extract standardization, demonstrable systemic and platelet exposure to markers, validated thromboinflammation assays with QC, and rigorous statistical plans.</w:t>
      </w:r>
    </w:p>
    <w:p>
      <w:r>
        <w:t xml:space="preserve"> </w:t>
      </w:r>
    </w:p>
    <w:p>
      <w:pPr>
        <w:pStyle w:val="Heading2"/>
      </w:pPr>
      <w:r>
        <w:t>Abstract</w:t>
      </w:r>
    </w:p>
    <w:p>
      <w:r>
        <w:t>Diabetes increases low‑grade inflammation and platelet hyperreactivity, raising thrombotic risk. We will test whether a 1:1:1 aqueous blend of Moringa oleifera, Ocimum gratissimum, and Vernonia amygdalina reduces thromboinflammatory markers in a rat model of diet plus streptozotocin (STZ)–induced diabetes. The approach integrates standardized botanical authentication and extraction, marker‑based chemical characterization (chlorogenic acid, rosmarinic acid, luteolin), acute PK/PD pilot, validated platelet and cytokine assays, and a 28‑day efficacy/toxicology study with prespecified co‑primary endpoints: ADP‑induced maximal platelet aggregation and plasma IL‑6. Main contributions are (1) a reproducible, marker‑standardized triherbal dosing strategy, (2) PK/PD linkage of systemic and platelet exposure to pharmacodynamic readouts, and (3) rigorous assay validation and statistical pre‑specification to enable unambiguous interpretation. Expected outcome is demonstration of whether the standardized blend modifies platelet reactivity and inflammatory signaling in diabetic rats and provision of numeric go/no‑go criteria for further development.</w:t>
      </w:r>
    </w:p>
    <w:p>
      <w:r>
        <w:t xml:space="preserve"> </w:t>
      </w:r>
    </w:p>
    <w:p>
      <w:pPr>
        <w:pStyle w:val="Heading2"/>
      </w:pPr>
      <w:r>
        <w:t>Methodology</w:t>
      </w:r>
    </w:p>
    <w:p>
      <w:r>
        <w:t>1) Botanical and extract preparation: authenticate plants and deposit vouchers. Use air‑dried leaves (or specified plant part) milled &lt;500 µm. Mix powders 1:1:1 by weight. Aqueous extraction: 1:10 w/v, hot‑water extraction at 60°C for 2 h, filter, concentrate and lyophilize. Record batch yield (% w/w), moisture and lot ID. Quantify chlorogenic acid (Moringa), rosmarinic acid (Ocimum) and luteolin (Vernonia) by HPLC‑DAD with LC‑MS/MS confirmation. Express dose both as mg extract/kg and mg marker/kg when feasible. (Marker‑based dosing: adjust mg extract to deliver target mg marker/kg if variability exceeds acceptance.) 2) PK/PD pilot: single oral dose(s) (75, 150, 300 mg/kg optional) in n=3–4/timepoint or serially cannulated rats. Collect plasma and platelet pellet matrices at pre, 0.25, 0.5, 1, 2, 4, 8, 12, 24 h (48 h optional). Analyze markers by LC‑MS/MS (LLOQ target 5–10 ng/mL). Platelet pellet: isolate platelets and lyse to quantify platelet‑associated marker. 3) Diabetes model and treatment timing: induce T2D‑like state with 4 weeks high‑fat diet (HFD) then low‑dose STZ 35 mg/kg i.p. after overnight fast; confirm hyperglycemia at 72 h and day 7; enroll rats with fasting glucose ≥200 mg/dL. Begin treatment after enrollment (day ~7 post‑STZ) and dose once daily by oral gavage for 28 days at 150 mg/kg. 4) Toxicology: perform refined Lorke acute test (phase1 escalating single animals, phase2 groups of 3) and 28‑day subacute screen (vehicle, blend 150 mg/kg, optional low/high dose; n=8–10/sex for tox cohorts) with clinical chemistry (ALT, AST, creatinine, BUN, glucose), CBC, coagulation (PT/aPTT, fibrinogen), organ weights and histopathology. 5) Platelet and blood handling: collect blood into 3.2% sodium citrate (9:1 ratio). Prepare PRP by 150 g ×10 min at room temperature for light transmission aggregometry (LTA). Prepare PPP by 2000 g ×15 min at 4°C for coagulation and cytokines; freeze −80°C. Process within 30–60 min to limit artifactual activation. 6) Assays: LTA with ADP at 5 and 20 µM; report maximal % aggregation (percent of light transmission compared to PPP). IL‑6 by validated ELISA (report kit and LLOQ in SOP). Flow cytometry panels for CD62P (P‑selectin), platelet‑leukocyte aggregates (CD41/CD45), Annexin V for PS exposure. NETs: CitH3 or MPO‑DNA ELISAs with DNase controls. 7) Statistics and data: randomize by block (sex, baseline glucose), n=12/group (allocate n=14 to allow attrition). Use hierarchical testing for co‑primaries (aggregation first). Analyze repeated measures with linear mixed models (animal random intercept; fixed effects: treatment, time, sex; baseline covariate).</w:t>
      </w:r>
    </w:p>
    <w:p>
      <w:r>
        <w:t xml:space="preserve"> </w:t>
      </w:r>
    </w:p>
    <w:p>
      <w:pPr>
        <w:pStyle w:val="Heading2"/>
      </w:pPr>
      <w:r>
        <w:t>Experiments</w:t>
      </w:r>
    </w:p>
    <w:p>
      <w:r>
        <w:t>Study design: randomized, blinded, parallel groups with both sexes. Groups (recommended): (A) non‑diabetic vehicle control; (B) diabetic vehicle; (C) diabetic + blended extract 150 mg/kg; (D) diabetic + Moringa 150 mg/kg; (E) diabetic + Ocimum 150 mg/kg; (F) diabetic + Vernonia 150 mg/kg; (G) diabetic + positive control (aspirin low dose, e.g., 10 mg/kg) ; optional (H/I) blended low/high dose (75, 300 mg/kg) or marker‑normalized arm. Cohorts: n=14/sex/group (plan n=12/group for primary power, plus attrition reserve). Timeline: HFD 4 weeks → STZ 35 mg/kg i.p. → confirm hyperglycemia at 72 h and day 7 → start 28‑day treatment → terminal sampling day 28. Measurements and timepoints: baseline (pre‑induction), pre‑treatment (day 7), mid‑treatment (day 14), end (day 28). Primary endpoints: ADP‑induced maximal platelet aggregation (% max by LTA) at day 28 and plasma IL‑6 (pg/mL) at day 28. Secondary endpoints: platelet count, MPV, P‑selectin (% positive), platelet‑leukocyte aggregates (%), PT/aPTT (s), fibrinogen (mg/dL), D‑dimer (ng/mL), NET markers (CitH3 pg/mL), FeCl3 carotid time‑to‑occlusion (s), body weight, fasting glucose. PK endpoints: plasma and platelet marker Cmax and AUC from PK pilot. Baselines/datasets: raw LTA traces, ELISA calibration/QC, LC‑MS/MS calibration curves, CBC output. Baselines for analysis: diabetic vehicle as primary comparator. Statistical analysis: hierarchical test (aggregation α=0.05; if significant test IL‑6 α=0.05). Primary analysis: linear mixed model for repeated measures with baseline covariate. Comparisons: blended vs diabetic vehicle (primary), blended vs each individual extract (synergy/combination test), marker‑normalized dosing vs fixed mass dosing (ablation), blended doses (dose–response). Ablation study: compare blended extract to single‑component arms to test whether blend effect &gt; any single extract (n per arm as above). Baselines and QC: include assay positive controls (aspirin for aggregation), ELISA QC samples. Evaluation metrics: absolute and relative change vs diabetic vehicle, 95% CI, p‑value, and standardized effect size (Cohen's d).</w:t>
      </w:r>
    </w:p>
    <w:p>
      <w:r>
        <w:t xml:space="preserve"> </w:t>
      </w:r>
    </w:p>
    <w:p>
      <w:pPr>
        <w:pStyle w:val="Heading2"/>
      </w:pPr>
      <w:r>
        <w:t>Risk Factors And Limitations</w:t>
      </w:r>
    </w:p>
    <w:p>
      <w:r>
        <w:t>1) Extract variability: phytochemical marker content may vary between batches, complicating dose normalization and PK interpretation. 2) Bioanalysis sensitivity: LC‑MS/MS LLOQ may be insufficient to detect low systemic or platelet concentrations of markers or metabolites. 3) Platelet preanalytical artifacts: delayed processing, temperature swings or improper anticoagulation can cause spurious activation and false results. 4) Model variability: HFD+STZ responses vary between animals and sexes, increasing outcome variance and reducing power. 5) Reagent availability: lack of rat‑reactive clones (e.g., activated‑integrin reagents) may force use of surrogate readouts. 6) Toxicology uncertainty: unexpected adverse effects at or below planned doses could halt efficacy testing. 7) Multiplicity and interpretation: multiple related secondary endpoints increase false‑positive risk if not rigidly controlled by SAP. 8) Translational limits: rodent thromboinflammation findings may not generalize to human diabetes due to species differences in platelet biology and metabolism. 9) Sample volume constraints: repeated blood sampling in small animals limits the number and timing of assays per animal. 10) Resource constraints: LC‑MS/MS method validation, stability studies and comprehensive histopathology are time and cost intensive and may limit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