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fcm_trust_covid_cdss</w:t>
      </w:r>
    </w:p>
    <w:p>
      <w:r>
        <w:t xml:space="preserve"> </w:t>
      </w:r>
    </w:p>
    <w:p>
      <w:pPr>
        <w:pStyle w:val="Heading2"/>
      </w:pPr>
      <w:r>
        <w:t>Title</w:t>
      </w:r>
    </w:p>
    <w:p>
      <w:r>
        <w:t>Quantifying clinicians' perceived trust in interpretable COVID-19 clinical decision support using fuzzy cognitive maps and a degree-of-agreement metric</w:t>
      </w:r>
    </w:p>
    <w:p>
      <w:r>
        <w:t xml:space="preserve"> </w:t>
      </w:r>
    </w:p>
    <w:p>
      <w:pPr>
        <w:pStyle w:val="Heading2"/>
      </w:pPr>
      <w:r>
        <w:t>Short Hypothesis</w:t>
      </w:r>
    </w:p>
    <w:p>
      <w:r>
        <w:t>Exposure to CDSS explanations causes clinicians' fuzzy cognitive maps to move closer to a consensus reference map, producing a mean increase in Degree-of-Agreement (DoA) of at least 0.10.</w:t>
      </w:r>
    </w:p>
    <w:p>
      <w:r>
        <w:t xml:space="preserve"> </w:t>
      </w:r>
    </w:p>
    <w:p>
      <w:pPr>
        <w:pStyle w:val="Heading2"/>
      </w:pPr>
      <w:r>
        <w:t>Related Work</w:t>
      </w:r>
    </w:p>
    <w:p>
      <w:r>
        <w:t>Prior work uses fuzzy cognitive maps (FCMs) to represent clinicians' causal mental models and uses explainable AI to improve clinician understanding of predictions. Existing trust measurement in clinical decision support often relies on self-report scales or ad-hoc agreement measures. Limitations in current methods include: lack of standardized, per-link agreement metrics that handle sign (direction) disagreements; ad-hoc node canonicalization that introduces mapping bias; limited psychometric validation of elicited mental models (few ICC or test–retest results); scarce propagation of mapping and imputation uncertainty into inference; and insufficient parameter tuning procedures for thresholds that determine link presence and sign penalties. Many prior studies also lack reproducible pipelines, explicit elicitation UX constraints to limit anchoring, and behavioral validators that link measured trust to actual clinician actions.</w:t>
      </w:r>
    </w:p>
    <w:p>
      <w:r>
        <w:t xml:space="preserve"> </w:t>
      </w:r>
    </w:p>
    <w:p>
      <w:pPr>
        <w:pStyle w:val="Heading2"/>
      </w:pPr>
      <w:r>
        <w:t>Abstract</w:t>
      </w:r>
    </w:p>
    <w:p>
      <w:r>
        <w:t>We present a reproducible method to elicit and quantify clinicians' perceived trust in an interpretable COVID-19 clinical decision support system (CDSS). Clinicians draw fuzzy cognitive maps (FCMs) representing causal beliefs; we compare each participant map to a consensus reference using a Degree-of-Agreement (DoA) metric that accounts for link presence, magnitude difference, and directional (sign) agreement. We propose explicit canonicalization rules for node mapping, per-link confidence capture, and nested Monte Carlo tuning of presence and sign-penalty thresholds using behavioral and self-report validators. We validate DoA psychometrically (ICC) and by correlation with established trust scales and behavioral changes (e.g., acceptance of CDSS recommendations). Main contributions are: (1) an analytic DoA formula with tunable asymmetric sign penalty, (2) an end-to-end canonicalization and uncertainty-propagation pipeline, and (3) a preregistered experimental plan tying DoA to validated trust and behavior measures. Expected outcome: a testable, reliable metric for perceived trust usable in CDSS evaluation and design.</w:t>
      </w:r>
    </w:p>
    <w:p>
      <w:r>
        <w:t xml:space="preserve"> </w:t>
      </w:r>
    </w:p>
    <w:p>
      <w:pPr>
        <w:pStyle w:val="Heading2"/>
      </w:pPr>
      <w:r>
        <w:t>Methodology</w:t>
      </w:r>
    </w:p>
    <w:p>
      <w:r>
        <w:t>1) Definitions and per-link formulas (simple terms): - Let w_P and w_R be participant and reference link weights in [-1,1]. Presence pres(x)=1 if |x|&gt;=ε else 0 (ε is the presence threshold). Magnitude score: magnitude_score = 1 - |w_P - w_R|/2 (ranges 0..1). Sign match: sign_match = 1 if sign(w_P)=sign(w_R) else 0. Asymmetric sign-penalty S_i (per-link score): - If pres(w_P)=0 and pres(w_R)=0 then S_i = 1. - Else if sign_match=1 then S_i = magnitude_score. - Else S_i = magnitude_score * (1 - δ), where δ∈[0,1] is the sign-penalty. Overall DoA = mean_i S_i across all canonical links. Explainers: magnitude_score penalizes absolute differences; sign-penalty downweights directional reversals. 2) Baseline similarity formulas (simple): - Cosine similarity between vectorized maps = dot(P,R)/(|P||R|). - Normalized mean absolute error (NMAE) = 1 - (mean |w_P - w_R| / 2). 3) Elicitation and canonicalization: - Seed a curated canonical node list; allow add/rename. - Normalize labels (lowercase, strip punctuation). - Exact dictionary match; then Levenshtein fuzzy-match (threshold 0.85). - For remaining, map by semantic embedding nearest neighbor (cosine &gt;=0.60) using a clinical embedding model (document embedding trained on clinical text; e.g., clinical BERT embeddings reduced to 768 dims). - If nearest similarity &lt;0.60 mark node as novel and retain. - Log all mapping decisions. 4) Normalization options: within-subject max-absolute scaling (divide by max abs weight), rank-based scaling (convert weights to rank percentiles), and robust z (median/MAD). Compute DoA for each and report. 5) Confidence and rationales: collect per-link confidence (0-100) and short free-text rationale. Use confidence to compute confidence-weighted aggregates (weight = confidence/100) and include confidence as moderator in models. Process free text with embedding clustering and manual dual-coder validation to produce codes. 6) Parameter tuning and validation: run nested Monte Carlo with outer leave-one-vignette-out and inner grid search over ε in {0.03,0.05,0.08} and δ in {0.4,0.5,0.6,0.7,0.8}. Select parameters that maximize out-of-sample Pearson correlation (r) between DoA and a pre-specified primary validator (pre/post change on a validated trust scale). Tie-breaker: maximize clinician–CDSS concordance. Use bootstrap for stability and hold back a site/specialty for external validation. 7) Statistical inference: fit hierarchical Bayesian multilevel models with vignettes nested within clinicians within sites. For bounded DoA use a Beta or logit-transformed model. Priors: weakly informative (e.g., Normal(0,1) on scaled parameters; half-Normal for SDs). Report ICC(2,1) for test–retest and posterior intervals. 8) Reproducibility: provide containerized pipelines, JSON schema for FCM exports (node, source, target, weight, confidence, rationale), audit logs, and synthetic data examples.</w:t>
      </w:r>
    </w:p>
    <w:p>
      <w:r>
        <w:t xml:space="preserve"> </w:t>
      </w:r>
    </w:p>
    <w:p>
      <w:pPr>
        <w:pStyle w:val="Heading2"/>
      </w:pPr>
      <w:r>
        <w:t>Experiments</w:t>
      </w:r>
    </w:p>
    <w:p>
      <w:r>
        <w:t>Datasets and cohorts: - Synthetic vignette generator: create N_synth = 200 synthetic COVID-19 cases spanning low/medium/high pretest probabilities and edge cases. - Pilot: N_pilot = 12 clinicians (mixed specialties) each annotate 6 vignettes twice (baseline and post-CDSS explanation) to provide variance estimates. - Main study: N_main = 40 clinicians stratified by specialty and experience (target range 30–60). Baselines and ablations: - Baseline 1: Cosine similarity between maps. - Baseline 2: NMAE between maps. - Ablation A: DoA without sign-penalty (δ=0). - Ablation B: DoA treating absent links as missing (imputation vs zero). - Ablation C: No per-link confidence weighting. - Ablation D: Alternative normalization methods (rank-based, robust z). Evaluation metrics: - Primary metrics: mean change in DoA (post vs baseline), ICC(2,1) for DoA test–retest, Pearson r between DoA and validated trust-scale change (Jian trust scale pre/post). - Secondary metrics: clinician–CDSS concordance (fraction agreeing with model), acceptance rate of CDSS recommendation, time-to-decision, NMAE, cosine similarity, and posterior uncertainty measures (95% credible intervals). Experimental setup: - Elicitation: randomized within-subject vignette order, baseline FCM elicited blinded to CDSS output, then CDSS explanation shown, then post-exposure FCM elicited. - Parameter tuning: nested Monte Carlo outer loop leave-one-vignette-out, inner grid over ε and δ; choose parameters maximizing out-of-sample Pearson r with pre-registered primary validator; bootstrap 1000 resamples for stability; external validation by holding out one site. - Modeling: fit Bayesian multilevel models with 4 chains, 2000 warmup and 2000 sampling iterations, check R̂&lt;1.01 and ESS&gt;200. - Comparisons: report paired t-tests (or Bayesian posterior differences) for DoA change, and compare DoA performance to baselines and ablations using out-of-sample correlations and LOO-CV. - Ablation study: run full pipeline with each ablation variant and report changes in primary metrics and model fit (ΔLOO).</w:t>
      </w:r>
    </w:p>
    <w:p>
      <w:r>
        <w:t xml:space="preserve"> </w:t>
      </w:r>
    </w:p>
    <w:p>
      <w:pPr>
        <w:pStyle w:val="Heading2"/>
      </w:pPr>
      <w:r>
        <w:t>Risk Factors And Limitations</w:t>
      </w:r>
    </w:p>
    <w:p>
      <w:r>
        <w:t>1) Anchoring bias: clinicians may be influenced by CDSS outputs despite blinding procedures, biasing baseline maps. 2) Mapping errors: canonicalization (fuzzy match and embedding) can mis-map semantically distinct nodes, introducing bias. 3) Sparse or novel nodes: many participant-unique nodes can reduce comparability across subjects. 4) Low-effort maps: participants may provide shallow maps (few links or minimal variance), reducing signal. 5) Small sample sizes: pilot and main sample sizes may limit precision of ICC and subgroup analyses. 6) Measurement invariance: DoA may not be comparable across specialties, sites, or languages without further adjustments. 7) Missing-data assumptions: treating absent links as zero may be incorrect if missing-not-at-random (MNAR). 8) Embedding/model choice risk: different embedding models (clinical vs general) will change mapping outcomes and may introduce semantic bias. 9) Computational cost: nested Monte Carlo, multiple canonicalization realizations, and Bayesian models increase compute needs and runtime. 10) Generalization limits: findings derived from COVID-19 vignettes and the chosen CDSS may not generalize to other conditions or CDSS designs. 11) Privacy risk: storing free-text rationales may carry identifiable information requiring strict governance and IRB review.</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