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ptb_pos_anomaly_detection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Probabilistic anomaly detection for identifying annotation errors in a part-of-speech tagged corpus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probabilistic anomaly detectors trained on token- and sequence-level features of a manually annotated POS corpus and calibrating their scores to p(error) will produce a ranked list of candidate tokens that yields higher corrections per reviewer-hour than random selection or simple frequency-based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to detecting annotation errors fall into several families: (1) likelihood-based sequence models (n-gram tag models, HMMs, CRFs) that score token/tag sequences by probability; (2) surprisal or log-probability from language models that flag unlikely word/tag combinations; (3) density estimators on contextual embeddings (Mahalanobis distance, Gaussian mixture models) that flag low-density tokens in embedding space; (4) reconstruction-based methods (autoencoders) that flag tokens or spans with high reconstruction error; and (5) changepoint and time-series inspired methods for clustered/burst errors. Limitations across these approaches include narrow evaluation on token-level detection only, weak or missing calibration to produce actionable p(error), limited sequence-aware comparisons, lack of realistic injection protocols for ground truth, weak baselines (often omitting simple heuristics), and little reporting of human-cost metrics (corrections/hour or precision@time). Many methods also omit reproducible toolchains and do not test robustness under correlated or clustered annotation errors.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reproducible, probabilistic framework to detect likely annotation errors in part-of-speech (POS) tagged corpora. The approach fits explicit probability models to token-level and sequence-level features of a manually marked corpus, calibrates anomaly scores to produce p(error), and prioritizes candidates by expected corrections per reviewer-hour. Key components are: a set of benchmark detector families (tag-5gram/HMM likelihoods, LM surprisal, Mahalanobis density on contextual embeddings, autoencoder reconstruction error, and sliding-window sequence scores), a stratified natural-error manifest to derive empirical confusion priors, and a seedable synthetic-error injector that reproduces marginal and burst statistics. We evaluate detectors by precision@K, precision@time (corrections per reviewer-hour), AUPRC, and calibration (ECE), and measure downstream impact on POS accuracy and parsing. Deliverables include injection manifests, calibration recipes, reproducible code (Docker/DVC/MLflow), and an adjudication manifest format. Expected outcome: a practical, validated toolchain that identifies genuine annotation errors more efficiently than simple baselines and provides calibrated probabilities for human-in-the-loop review.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and provenance: produce a natural-error manifest sampled across PTB WSJ sections 00–24 and tag-frequency strata. Each row records section, sentence_id, token_index, token, original_tag, corrected_tag (if any), annotator_id, timestamp, error_type, evidence_snippet, and guideline_version. 2) Synthetic injector: compute confusion priors from the manifest, then inject errors at controlled rates (0.5%, 1%, 3%) with modes IID, annotator-bias clusters, and burst clusters. Emit DVC-tracked manifests with RNG seeds. 3) Detector families to implement (each yields a numeric anomaly score per token): a) tag-5gram / HMM sequence log-likelihood: score = -log P(tag|context) from a tag n-gram or HMM; b) LM surprisal: score = -log P(word|context) or combined tag+word surprisal; c) Mahalanobis on contextual embeddings: fit per-tag Gaussian (mean, cov), score = Mahalanobis distance of token embedding; d) autoencoder reconstruction error: train a token-sequence autoencoder, score = reconstruction error for token/span; e) sliding-window sequence score / Matrix-Profile-like discrete sequence method: score rare subsequences in tag sequences. 4) Calibration and ensemble: combine scores via weighted sum, calibrate to p(error) using isotonic regression on a stratified calibration fold (stratify by section and tag-frequency). Produce ECE and Brier. 5) Prioritization formula: Score(candidate) = (p_calib^alpha) * (1 + beta*disagreement) * (1 + gamma*downstream_weight) / est_time. Default hyperparameters: alpha=1, beta=0.5, gamma=1. 6) Reproducibility: provide Docker images (pinned hashes), DVC for data, MLflow for runs, fixed RNG seeds for all steps, and a CI smoke test that runs injector+one baseline detector on a tiny sample and checks manifest + metrics output.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train and develop on Penn Treebank (WSJ sections 00–24); build natural-error manifest from a stratified sample; holdout 10k–20k tokens for evaluation; transfer tests on OntoNotes and Brown. Injection regimes: IID, annotator-bias clusters, and burst clusters with rates {0.5%,1%,3%} and burst sizes {5,20}. Baselines: random ranking, frequency heuristic (rank tokens with low tag frequency higher), LM surprisal, tag-5gram/HMM likelihood. Detectors to evaluate: tag-5gram/HMM, LM surprisal, Mahalanobis on BERT-base contextual embeddings, token-sequence autoencoder reconstruction error, sliding-window sequence score. Calibration &amp; folds: split holdout into calibration (30%) and test (70%) folds stratified by section and tag-frequency; ensure no leakage. Metrics: precision@K (top-100, top-500), precision@time (corrections per reviewer-hour using measured mean review times), recall@budget, AUPRC, ECE, Brier score, downstream POS accuracy and parser UAS/LAS, Krippendorff's alpha for adjudicator agreement. Statistical tests and CIs: compute 95% stratified paired-bootstrap CIs for main metrics; primary test = paired bootstrap for precision@time; control FDR across tag-wise tests with Benjamini–Hochberg (alpha=0.05). Ablations: (A) remove Mahalanobis component, (B) remove surprisal component, (C) remove disagreement from prioritization formula, (D) compare token-level detectors vs sequence-aware detectors on correlated injection regimes. Reporting: present results separately for natural-error subset and synthetic-injected subset, include calibration plots and injection diagnostics (KL divergences on error-type, tag-transition matrix, and sentence-level burst counts). Compute budget: n-gram/HMM on CPU, BiLSTM-CRF or autoencoder on single GPU (8–16GB) for pilot runs; provide config seeds and runtime caps.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Injection realism mismatch: synthetic errors may not match true error distributions, causing optimistic detector estimates. 2) Calibration leakage: improper fold splits or label leakage can produce overconfident p(error). 3) Human cost variability: reviewer times vary by error type and annotator; precision@time estimates may be unstable. 4) False positive burden: high false positives increase reviewer workload and may erode trust. 5) Sequence complexity: long-range or nested correlated errors may defeat token-level detectors. 6) Compute limits: embedding-based detectors and ensembles require GPUs and memory; scaling to large corpora may be costly. 7) Generalization: models tuned on PTB idiosyncrasies may not transfer to other tagsets or genres. 8) Annotation bias: natural-error manifest depends on annotator judgments and may encode systematic biases. 9) Legal/licensing constraints: PTB is proprietary; derived artifacts may have sharing restrictions and require access controls. 10) Reproducibility pitfalls: missing pinned Docker hashes, unstored RNG seeds, or incomplete DVC tracking can break reproducibility.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