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for Deep Multiple Instance Learning in Medical Imaging</w:t>
      </w:r>
    </w:p>
    <w:p>
      <w:r>
        <w:t xml:space="preserve"> </w:t>
      </w:r>
    </w:p>
    <w:p>
      <w:pPr>
        <w:pStyle w:val="Heading2"/>
      </w:pPr>
      <w:r>
        <w:t>Short Hypothesis</w:t>
      </w:r>
    </w:p>
    <w:p>
      <w:r>
        <w:t>Modeling attention logits probabilistically with a structured covariance that combines a local graph-based precision and a global low-rank factor causes improved instance-level localization AUC and better uncertainty calibration compared to deterministic attention MIL baselines on WSI and CT datasets.</w:t>
      </w:r>
    </w:p>
    <w:p>
      <w:r>
        <w:t xml:space="preserve"> </w:t>
      </w:r>
    </w:p>
    <w:p>
      <w:pPr>
        <w:pStyle w:val="Heading2"/>
      </w:pPr>
      <w:r>
        <w:t>Related Work</w:t>
      </w:r>
    </w:p>
    <w:p>
      <w:r>
        <w:t>Existing multiple instance learning (MIL) methods use learned attention weights or pooling to aggregate instance embeddings. Deterministic attention MIL and extensions (e.g., smooth deterministic attention) produce interpretable attention maps but do not quantify uncertainty and often ignore long-range interactions. Prior probabilistic or Bayesian attention proposals typically use factorized or diagonal variational families, limiting capture of spatial smoothness and global correlations. Graph-based and Gaussian Markov Random Field (GMRF) priors enforce local smoothness but have been used separately from low-rank global factors, creating a gap for joint local+global modeling. Low-rank covariance or inducing-point approaches capture global modes but miss fine spatial structure. MCMC samplers provide gold-standard uncertainty but are computationally expensive for large bags; stochastic trace estimators (SLQ/Hutchinson) and low-rank tricks trade accuracy for scalability and introduce noisy gradients. Overall, current approaches either lack calibrated uncertainty, lack joint spatial/global structure, or scale poorly to realistic MIL bag sizes.</w:t>
      </w:r>
    </w:p>
    <w:p>
      <w:r>
        <w:t xml:space="preserve"> </w:t>
      </w:r>
    </w:p>
    <w:p>
      <w:pPr>
        <w:pStyle w:val="Heading2"/>
      </w:pPr>
      <w:r>
        <w:t>Abstract</w:t>
      </w:r>
    </w:p>
    <w:p>
      <w:r>
        <w:t>We present a probabilistic attention layer for deep multiple instance learning (MIL) that models attention logits as a Gaussian latent vector with structured covariance combining a sparse local precision (graph Laplacian) and a global low-rank factor. The model converts logits to attention weights via a softmax and aggregates precomputed instance embeddings to predict bag labels while producing uncertainty-aware attention maps for instance contributions. The main contribution is a tractable inference design that (1) uses an amortized Gaussian variational posterior with a practical reparameterization for covariance of the form D + U U^T, (2) encodes spatial smoothness with a sparse precision derived from patch adjacency, and (3) provides exact/approximate linear-algebra recipes (sparse Cholesky or stochastic Lanczos fallback) for KL and sampling to balance accuracy and scalability. We evaluate VI against NUTS MCMC on medium-sized prototype bags and measure localization, calibration, and decision metrics on WSI and CT subsets. Expected outcomes are improved localization AUC and calibrated attention uncertainty without prohibitive compute for realistic medical imaging MIL bags.</w:t>
      </w:r>
    </w:p>
    <w:p>
      <w:r>
        <w:t xml:space="preserve"> </w:t>
      </w:r>
    </w:p>
    <w:p>
      <w:pPr>
        <w:pStyle w:val="Heading2"/>
      </w:pPr>
      <w:r>
        <w:t>Methodology</w:t>
      </w:r>
    </w:p>
    <w:p>
      <w:r>
        <w:t>1) Data and embeddings: Precompute instance embeddings e_i using a frozen encoder (e.g., ResNet50) so each bag is a set of embeddings plus spatial coordinates. 2) Latent attention logits: Introduce latent z ∈ R^n with prior z ~ N(μ0, Σ) where Σ = Σ_local + U U^T + σ^2 I. Σ_local is the covariance implied by sparse precision Q = α L + β I, where L is the graph Laplacian built from k-NN on patch coordinates (k=6–12). U ∈ R^{n×r} is a low-rank factor capturing global modes (r≈8–32). 3) Attention mapping: Convert logits to attention weights a = softmax(z/τ). Center logits per bag by subtracting mean(z) to remove the softmax additive degree of freedom. 4) Likelihood and aggregation: Bag representation g = Σ_i a_i e_i; bag label y modeled by a Bernoulli with logit w^T g + b. 5) Variational inference: Use an amortized Gaussian qϕ(z|X)=N(mϕ(X), Σϕ(X)) with matching structure. Reparameterize samples via z = m + D^{1/2} ξ + U η where D is diagonal part. 6) KL and logdet: Compute KL using Woodbury and matrix determinant lemma when D+U U^T is used and use sparse Cholesky on precision Q when feasible; fall back to stochastic Lanczos quadrature (SLQ) for logdet estimates when Cholesky is too expensive. 7) Sampling: For GMRF-style precision, sample by solving sparse linear systems via sparse Cholesky or preconditioned conjugate gradient (PCG) with white-noise forcing and low-rank corrections. 8) Training details: train by maximizing ELBO with Monte Carlo expectation (S_train=2 samples), KL-annealing (0→1 over first 5 epochs), and temperature annealing τ (2.0→0.5). Record per-bag adjacency and cache graphs. 9) Large-bag handling: use importance subsampling combining a cheap proxy ranking and uniform samples with importance weights to keep estimators unbiased. Definitions: • Graph Laplacian L: matrix encoding node adjacency differences (simple way to enforce smoothness). • Woodbury lemma: a matrix identity to compute inverses and determinants efficiently when adding low-rank terms. • SLQ/Hutchinson: stochastic methods to estimate traces/determinants using random probe vectors.</w:t>
      </w:r>
    </w:p>
    <w:p>
      <w:r>
        <w:t xml:space="preserve"> </w:t>
      </w:r>
    </w:p>
    <w:p>
      <w:pPr>
        <w:pStyle w:val="Heading2"/>
      </w:pPr>
      <w:r>
        <w:t>Experiments</w:t>
      </w:r>
    </w:p>
    <w:p>
      <w:r>
        <w:t>Datasets: 1) WSI subset from TCGA/CPTAC with curated bags of 500–2000 overlapping 256–512px patches; 2) LIDC-IDRI CT subset with volumetric bags of 500–2000 patch candidates. Baselines: (A) deterministic attention MIL, (B) deterministic smooth attention (local smoothing), (C) CLAM/DSMIL style MIL, (D) probabilistic attention with diagonal covariance. Metrics: Bag: AUROC, AUPRC, NLL, Brier score. Instance/localization: localization AUC, top-k recall (k={1,5,10}), IoU/Dice for available masks. Calibration: ECE (probability calibration), credible-interval coverage (nominal 90% coverage within ±5%), Expected Attention Mass Error (difference between posterior expected attention mass in annotated ROI and ground-truth). VI vs MCMC validation: run NUTS (NumPyro) on 20 representative bags (stratified small/med/large) with 4 chains, 2000 warmup + 2000 samples; diagnostics: R̂ ≤ 1.05, ESS ≥ 200, symmetrized KL(VI‖MCMC) &lt; 0.1 nats on top-k z marginals. Ablations: remove Σ_local (set α=0), remove Σ_global (set U=0), vary r∈{8,16,32}, vary k∈{6,8,12}, vary subsample K∈{500,1000,0.2n}. Setup: embeddings d=256, optimizer AdamW, lr_PSA=5e-5, lr_classifier=1e-4, mixed precision, batch_per_gpu=1–4 with gradient accumulation, MC samples S_train=2, S_eval=8, train 50 epochs. Hardware: evaluate timings on A100 or equivalent GPU and report wall-clock per-epoch and memory. Report paired statistical tests (clustered bootstrap 1000 resamples) and present reliability diagrams and posterior predictive checks.</w:t>
      </w:r>
    </w:p>
    <w:p>
      <w:r>
        <w:t xml:space="preserve"> </w:t>
      </w:r>
    </w:p>
    <w:p>
      <w:pPr>
        <w:pStyle w:val="Heading2"/>
      </w:pPr>
      <w:r>
        <w:t>Risk Factors And Limitations</w:t>
      </w:r>
    </w:p>
    <w:p>
      <w:r>
        <w:t>1) Softmax coupling and multimodality: the softmax mapping tightly couples z components and can cause posterior multimodality or posterior collapse; centering helps but may not fully prevent optimization failures. 2) Linear-algebra scalability: sparse Cholesky can have large fill-in for some graphs, increasing memory beyond practical limits; SLQ produces noisy estimates and gradients that may bias learning. 3) SLQ gradients: stochastic trace/determinant estimators have nontrivial gradient variance and may require freezing estimates or advanced variance-reduction; this risks biased gradients. 4) Sampling cost: NUTS MCMC is expensive and infeasible for large bags (&gt;5k–50k); VI approximations may not match MCMC for complex posteriors. 5) Identifiability: decomposition between Σ_local and U U^T can be degenerate, causing learned U to absorb local structure or vice versa. 6) Subsampling bias: importance subsampling can reduce variance but may introduce bias if proxy ranking fails; unbiasedness requires careful weighting and diagnostics. 7) Data limitations: instance-level labels or high-quality ROI annotations may be scarce, reducing ability to evaluate localization and calibration. 8) Domain and confounder bias: scanner/site heterogeneity and patient distribution shifts may limit generalization. 9) Compute and reproducibility: training with structured covariances and SLQ requires careful hardware budgeting and deterministic testing to ensure reproducible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