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hierarchical_occlusion_xai_mri_distal_myopathy</w:t>
      </w:r>
    </w:p>
    <w:p>
      <w:r>
        <w:t xml:space="preserve"> </w:t>
      </w:r>
    </w:p>
    <w:p>
      <w:pPr>
        <w:pStyle w:val="Heading2"/>
      </w:pPr>
      <w:r>
        <w:t>Title</w:t>
      </w:r>
    </w:p>
    <w:p>
      <w:r>
        <w:t>Hierarchical occlusion and ensemble explainable AI for MRI diagnostic support of distal myopathies</w:t>
      </w:r>
    </w:p>
    <w:p>
      <w:r>
        <w:t xml:space="preserve"> </w:t>
      </w:r>
    </w:p>
    <w:p>
      <w:pPr>
        <w:pStyle w:val="Heading2"/>
      </w:pPr>
      <w:r>
        <w:t>Short Hypothesis</w:t>
      </w:r>
    </w:p>
    <w:p>
      <w:r>
        <w:t>Applying a hierarchical occlusion scheme combined with an ensemble of XAI methods and uncertainty-weighted aggregation will increase radiologist localization accuracy and diagnostic agreement for MRI-based distal myopathy predictions compared to model outputs without ensemble explanations.</w:t>
      </w:r>
    </w:p>
    <w:p>
      <w:r>
        <w:t xml:space="preserve"> </w:t>
      </w:r>
    </w:p>
    <w:p>
      <w:pPr>
        <w:pStyle w:val="Heading2"/>
      </w:pPr>
      <w:r>
        <w:t>Related Work</w:t>
      </w:r>
    </w:p>
    <w:p>
      <w:r>
        <w:t>Existing work provides post-hoc explanation methods such as gradient-based saliency (e.g., Grad-CAM, integrated gradients), layerwise relevance propagation (LRP), SHAP approximations, and attention visualization. Occlusion-based attribution is also used but typically as dense voxel masking that is computationally expensive and prone to edge artifacts. Prior studies largely focus on 2D images or single-method explanations and do not anchor occlusion to anatomical atlases for 3D MRI. Ensembles of explanation methods are rare and usually lack calibrated uncertainty maps. Few prior works propagate annotation uncertainty from multiple readers into localization metrics or evaluate explanations with clinician studies under preregistered statistical plans. Limitations include noisy localizations, masking artifacts, poor numerical stability for some methods in 3D, high compute cost for dense occlusion, lack of cross-site generalization analysis, and weak regulatory/audit documentation for explanations.</w:t>
      </w:r>
    </w:p>
    <w:p>
      <w:r>
        <w:t xml:space="preserve"> </w:t>
      </w:r>
    </w:p>
    <w:p>
      <w:pPr>
        <w:pStyle w:val="Heading2"/>
      </w:pPr>
      <w:r>
        <w:t>Abstract</w:t>
      </w:r>
    </w:p>
    <w:p>
      <w:r>
        <w:t>This study evaluates whether a hierarchical occlusion technique combined with an ensemble of explainable AI (XAI) methods improves interpretability and clinical utility of MRI-based diagnostic support for distal myopathies. We propose anchoring occlusion to a validated lower-limb muscle atlas at three scales (muscle groups, muscle-blocks, voxel neighborhoods), applying multiple attribution methods (gradient-based saliency, integrated gradients, LRP, SHAP approximations, attention-rollout), and aggregating results with weights derived from local agreement, stability, and faithfulness tests to produce a consensus heatmap and voxelwise uncertainty map. Expert radiologist annotations are stored as probabilistic ROI masks and used to compute soft IoU and confidence-weighted metrics. We will assess impact on radiologist localization accuracy, diagnostic performance, explanation faithfulness (deletion/insertion AUC), stability, and compute cost in a blinded randomized crossover study. Expected outcome: quantifiable improvement in clinically meaningful localization and calibrated explanation uncertainty, enabling more auditable and regulator-ready XAI outputs for MRI diagnostics.</w:t>
      </w:r>
    </w:p>
    <w:p>
      <w:r>
        <w:t xml:space="preserve"> </w:t>
      </w:r>
    </w:p>
    <w:p>
      <w:pPr>
        <w:pStyle w:val="Heading2"/>
      </w:pPr>
      <w:r>
        <w:t>Methodology</w:t>
      </w:r>
    </w:p>
    <w:p>
      <w:r>
        <w:t>1) Data and annotations: assemble a multi-site MRI cohort of lower-limb studies with distal myopathy cases. Have three independent radiologist readers per case produce ROI masks and per-ROI confidence (0–1). Store probabilistic masks and provenance metadata. 2) Registration and atlas anchoring: perform deformable registration of each study to a validated multi-subject muscle atlas (deformable registration means warping images to align anatomy; e.g., SyN). Quantify registration error with Dice and surface distances. 3) Diagnostic models: train a 3D CNN backbone and a transformer variant on the training split to predict distal myopathy labels and produce per-case scores. 4) XAI methods: compute multiple attributions per case: gradient-based saliency (highlights regions by gradient), integrated gradients (accumulates gradients along a path), LRP (redistributes prediction relevance), SHAP approximations (estimate feature contributions), and attention-rollout for transformer models. Implement numerical safeguards: smoothing, clipping, and stable parameter settings. 5) Hierarchical occlusion: define three occlusion levels: L1 anatomical region patches (20–40 mm), L2 muscle-blocks (16–32 mm), L3 fine neighborhoods (4–8 mm). For each occlusion patch, replace pixels with in-distribution patches from nearby same-compartment tissue and blend edges with a Gaussian to avoid hard boundaries. Use coarse-to-fine sampling and Monte Carlo repeats per patch (8–12) to average stochasticity. 6) Faithfulness testing: compute deletion and insertion curves by ranking patches and removing/adding them to measure score change; report AUC. 7) Ensemble aggregation: compute local agreement, stability under small perturbations, and faithfulness scores per-method per-voxel; derive normalized weights and produce consensus heatmap plus voxelwise uncertainty (variance map). 8) Outputs and logging: record model and explanation hashes, seeds, method versions, atlas and occlusion parameters for auditability. 9) Radiologist evaluation: present fused heatmaps vs no-explanation controls in a blinded randomized crossover with training and rubrics.</w:t>
      </w:r>
    </w:p>
    <w:p>
      <w:r>
        <w:t xml:space="preserve"> </w:t>
      </w:r>
    </w:p>
    <w:p>
      <w:pPr>
        <w:pStyle w:val="Heading2"/>
      </w:pPr>
      <w:r>
        <w:t>Experiments</w:t>
      </w:r>
    </w:p>
    <w:p>
      <w:r>
        <w:t>Datasets: multi-site pool target ~400 subjects (60/20/20 split), held-out cross-site test set ≈80; pilot 50–100 cases for variance estimates. Baselines: (A) model predictions without explanations, (B) single-method explanations (Grad-CAM, Integrated Gradients, LRP, SHAP, attention-rollout), (C) hierarchical occlusion alone, (D) unweighted ensemble, (E) weighted ensemble with uncertainty map (proposed). Metrics: diagnostic accuracy, ROC AUC, McNemar test for paired accuracy, DeLong test for AUC; localization metrics: soft IoU using probabilistic ROI masks, confidence-weighted AUPR, bootstrapped 95% CIs; explanation faithfulness: deletion/insertion AUC and ROAR; stability: voxelwise ICC or Spearman correlation under perturbations; human factors: time-to-localize, Krippendorff's alpha for inter-reader agreement, calibration metrics (Brier score), NASA-TLX for cognitive load; compute: GPU-hours per 100 cases. Experimental setup: train 3D CNN (resnet3D-like) and transformer variant with same splits; compute attributions on validation/test sets. Occlusion parameters: L1 20–40 mm, L2 16–32 mm, L3 4–8 mm; Monte Carlo repeats 8–12; insertion/deletion steps 50; sampling policy evaluate all L1, sample 30–50% L2 prioritized by activation variance, refine top 15–20% L3. Statistical analysis: preregister primary endpoint (change in diagnostic accuracy with explanations), secondary endpoints (soft IoU, time-to-localize), control multiplicity with Benjamini-Hochberg FDR or hierarchical testing; use permutation tests for AUC differences and bootstrap for CIs. Ablation studies: 1) remove atlas anchoring (test occlusion without anatomical alignment), 2) replacement strategy comparison (zeroing vs in-distribution patch replacement), 3) ensemble without faithfulness-weighting vs with weighting, 4) per-method leave-one-out to measure contribution, 5) varying Monte Carlo repeats (8, 12, 20) to measure convergence.</w:t>
      </w:r>
    </w:p>
    <w:p>
      <w:r>
        <w:t xml:space="preserve"> </w:t>
      </w:r>
    </w:p>
    <w:p>
      <w:pPr>
        <w:pStyle w:val="Heading2"/>
      </w:pPr>
      <w:r>
        <w:t>Risk Factors And Limitations</w:t>
      </w:r>
    </w:p>
    <w:p>
      <w:r>
        <w:t>1) Small sample sizes for rare distal myopathy subtypes may limit statistical power and generalization. 2) Registration error between scans and atlas can misalign occlusion regions, producing misleading attributions. 3) Occlusion replacement may still introduce artifacts that bias model responses. 4) Some XAI methods can be numerically unstable or produce noisy maps in 3D; smoothing may obscure fine detail. 5) Dense occlusion and SHAP approximations have high compute cost and may be infeasible at large scale. 6) Ensemble weighting may overfit to validation data and produce overconfident consensus. 7) Cross-site scanner and protocol variability can reduce generalizability of models and explanations. 8) Probabilistic label encoding and soft metrics complicate standard hypothesis tests and require careful pre-registration. 9) Clinician acceptance is uncertain; explanation visuals may be misinterpreted and could bias decisions. 10) Regulatory and privacy constraints (GDPR, AI Act) may restrict data sharing and long-term storage of explanation artifacts.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