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sasnet_scale_aware</w:t>
      </w:r>
    </w:p>
    <w:p>
      <w:r>
        <w:t xml:space="preserve"> </w:t>
      </w:r>
    </w:p>
    <w:p>
      <w:pPr>
        <w:pStyle w:val="Heading2"/>
      </w:pPr>
      <w:r>
        <w:t>Title</w:t>
      </w:r>
    </w:p>
    <w:p>
      <w:r>
        <w:t>Scale-aware adaptive supervised network (SASNet) for semi-supervised medical image segmentation with limited annotations</w:t>
      </w:r>
    </w:p>
    <w:p>
      <w:r>
        <w:t xml:space="preserve"> </w:t>
      </w:r>
    </w:p>
    <w:p>
      <w:pPr>
        <w:pStyle w:val="Heading2"/>
      </w:pPr>
      <w:r>
        <w:t>Short Hypothesis</w:t>
      </w:r>
    </w:p>
    <w:p>
      <w:r>
        <w:t>Adding scale-aware adaptive reweighting, 3D Fourier-domain view-variance augmentation, and signed distance map consistency to a semi-supervised segmentation network increases Dice by &gt;= 0.03 and reduces HD95 by &gt;= 5 mm versus a matched semi-supervised baseline without these components under limited labeled data.</w:t>
      </w:r>
    </w:p>
    <w:p>
      <w:r>
        <w:t xml:space="preserve"> </w:t>
      </w:r>
    </w:p>
    <w:p>
      <w:pPr>
        <w:pStyle w:val="Heading2"/>
      </w:pPr>
      <w:r>
        <w:t>Related Work</w:t>
      </w:r>
    </w:p>
    <w:p>
      <w:r>
        <w:t>Semi-supervised medical segmentation methods commonly use teacher-student consistency, pseudo-labeling, or entropy/uncertainty-based masking (e.g., Mean Teacher, confidence-thresholded pseudo-labels). Multi-scale and feature-fusion networks aim to capture boundaries and small structures but often treat scale implicitly and lack per-pixel scale adaptation. Fourier- or frequency-domain augmentations have been proposed to increase view or style variance, yet prior work risks corruption of fine boundaries and rarely provides per-sample artifact diagnostics. Signed distance maps (SDMs) and boundary-aware losses improve boundary accuracy but are computationally heavier and under-explored in semi-supervised settings. Open limitations: (1) weak handling of small-object weighting and mis-calibrated pseudo-label influence, (2) unsafe use of heavy frequency augmentations without label-preservation checks, (3) few integrated frameworks combining temporal confidence accumulation, explicit scale adaptation, and SDM regression with reproducible gating and fallback rules.</w:t>
      </w:r>
    </w:p>
    <w:p>
      <w:r>
        <w:t xml:space="preserve"> </w:t>
      </w:r>
    </w:p>
    <w:p>
      <w:pPr>
        <w:pStyle w:val="Heading2"/>
      </w:pPr>
      <w:r>
        <w:t>Abstract</w:t>
      </w:r>
    </w:p>
    <w:p>
      <w:r>
        <w:t>We present SASNet, a semi-supervised segmentation framework that jointly addresses annotation scarcity, inter-annotator variability, and multi-scale boundary delineation. SASNet combines three components: (1) scale-aware adaptive reweighting (SAR) that uses per-pixel temporal confidence to modulate pseudo-label influence and upweight small-scale structures, (2) 3D Fourier-domain view-variance augmentation (FDA) that simulates realistic spectral variation while preserving label geometry with automated artifact checks, and (3) segmentation–regression consistency via signed distance map (SDM) supervision to improve boundary precision. These components integrate spatial, temporal, and geometric cues in a unified loss and curriculum: confident pixels from a teacher ensemble generate SAR-weighted pseudo-labels, FDA is applied only to high-confidence unlabeled voxels after spectral diagnostics, and the SDM head learns smooth boundary geometry from soft labels. We expect SASNet to yield statistically and clinically meaningful improvements in Dice and boundary metrics under limited-label regimes while providing reproducible safeguards and diagnostics for safe deployment.</w:t>
      </w:r>
    </w:p>
    <w:p>
      <w:r>
        <w:t xml:space="preserve"> </w:t>
      </w:r>
    </w:p>
    <w:p>
      <w:pPr>
        <w:pStyle w:val="Heading2"/>
      </w:pPr>
      <w:r>
        <w:t>Methodology</w:t>
      </w:r>
    </w:p>
    <w:p>
      <w:r>
        <w:t>Overview: Train a dual-branch CNN (low-level + high-level feature branches) with a segmentation head, a scale head, and an SDM regression head. Maintain a teacher via parameter EMA and optionally a small ensemble for epistemic estimates. Components: 1) Temporal EMA (per-pixel): C_t(x) = beta * C_{t-1}(x) + (1 - beta) * c_t(x), where c_t(x) = max_k softmax_k(p_t(x)) is the current model confidence (probability of the predicted class). Defaults: beta = 0.95, initial C_0(x)=c_0(x). 2) Confidence weight: w_conf(x,t) = sigmoid(k*(C_t(x) - tau)), with k=10 and tau=0.7. This maps EMA confidence to [0,1]. 3) Scale head and scale weight: scale head predicts S_hat(x) &gt;= 0 (estimated object radius in voxels) and a per-pixel scale confidence S_conf(x). Set dataset median object scale sigma_s. Define w_scale(x) = 1 + lambda * exp(-S_hat(x) / sigma_s) to upweight small predicted scales; defaults lambda=1. If S_conf(x) &lt; tau_scale (0.6) then w_scale(x)=1 (fallback). 4) Combined pixel weight: w_i(x,t) = clamp(w_conf(x,t) * w_scale(x), w_min, w_max) with w_min=0.1 and w_max=3.0 to avoid runaway influence. 5) SDM construction: from binary mask M, compute signed Euclidean distance D_raw (positive inside, negative outside). Clip D = clamp(D_raw, -R_max, R_max) with R_max = 32 voxels (or dataset-specific). Smooth by Gaussian filter (sigma=1 voxel) and normalize to [-1,1] by dividing by R_max. SDM target is continuous in [-1,1]. Loss terms and schedule: Define L_total = L_sup + alpha_pseudo(t) * L_pseudo + alpha_sdm(t) * L_sdm + alpha_fda * L_fda + alpha_reg * L_reg. Specifics: - L_sup = L_CE + L_Dice where L_CE is cross-entropy on labeled voxels and L_Dice is soft Dice loss. - L_pseudo = weighted cross-entropy on unlabeled voxels using teacher pseudo-labels, multiplied per-pixel by w_i(x,t) and masked to composite confidence &gt; tau_conf. - L_sdm = Huber loss between predicted SDM and normalized SDM target (Huber delta=0.5). - L_fda = consistency loss (L2) between predictions on original and FDA-augmented high-confidence unlabeled voxels. Ramping / curriculum: alpha_pseudo(t) linearly ramps from 0 to 1 over first 20k iterations. alpha_sdm(t) ramps from 0 to alpha_sdm_max (default 1.0) starting at iteration 5k and completing by 25k iterations to let segmentation head stabilize. alpha_fda default 0.1 and applied only to batches passing spectral diagnostics. Optimizer and schedule: AdamW, lr=1e-4, weight_decay=1e-5, batch size example: 2 labeled + 6 unlabeled (ratio 1:3), input crop 128^3 or dataset-appropriate patch; warmup linearly over first 5k iterations, then cosine decay. EMA teacher update: theta_teacher = beta_param * theta_teacher + (1 - beta_param) * theta_student with beta_param = 0.999. Pseudo-label gating and uncertainty: combine EMA C_t with epistemic variance sigma_epistemic(x) from MC-dropout / 3-model ensemble into composite confidence: Conf_comp(x) = C_t(x) * exp(-gamma * sigma_epistemic(x)), gamma=5 (scales variance to [0,1]); accept pixels where Conf_comp &gt; tau_accept (0.7). FDA module: resample volumes to isotropic dataset-median spacing (trilinear for images, nearest for labels), pad to FFT-friendly sizes, perform amplitude-only mixing: |F|' = (1 - alpha) |F_A| + alpha |F_B| and inverse FFT with phase of F_A. Defaults: alpha=0.1, band cutoff r=0.12, p_aug=0.3, sigma_phi=0 for SDM batches. Per-sample diagnostics: require relative L2 reconstruction error &lt;1% and HF energy increase &lt;3 dB; otherwise skip augmentation for that sample. Pseudocode (high level): initialize C_0; for each step sample labeled/unlabeled batch; compute student predictions p_s and teacher predictions p_t; update C_t per pixel; compute w_conf and w_scale -&gt; w_i; generate pseudo-labels from teacher where Conf_comp&gt;tau; compute L_sup on labeled; compute L_pseudo on accepted unlabeled voxels weighted by w_i; compute L_sdm between SDM head and GT/teacher SDM for labeled and high-confidence unlabeled voxels; compute L_fda between original and FDA-augmented predictions for accepted voxels; backprop student; update EMA teacher parameters; apply learning-rate schedule and gradient clipping (global norm &lt;=5).</w:t>
      </w:r>
    </w:p>
    <w:p>
      <w:r>
        <w:t xml:space="preserve"> </w:t>
      </w:r>
    </w:p>
    <w:p>
      <w:pPr>
        <w:pStyle w:val="Heading2"/>
      </w:pPr>
      <w:r>
        <w:t>Experiments</w:t>
      </w:r>
    </w:p>
    <w:p>
      <w:r>
        <w:t>Datasets: BraTS (brain MRI), LiTS (liver CT), PROMISE12 (prostate MRI), a small-structure dataset (KiTS or ACDC), and MSD task subsets as available. Preprocess: resample to dataset-median isotropic spacing, intensity z-score per volume, pad/crop to input size (example 128^3). Baselines: (1) supervised-only training on labeled fraction, (2) Mean Teacher semi-supervised baseline with same backbone but without SAR/FDA/SDM, (3) Mean Teacher + FDA only, (4) Mean Teacher + SDM only. SASNet variants: full (SAR+FDA+SDM), SAR only, FDA only, SDM only. Evaluation metrics: primary = Dice coefficient (per-structure); co-primary = HD95 (mm) and Surface Dice @ {1,2,3} mm. Secondary: sensitivity, precision, ECE (expected calibration error), SDM L1 residual on boundary band, and per-scale stratified Dice (small/medium/large objects). Setup: run each core experiment (8-cell factorial SAR On/Off × FDA On/Off × SDM On/Off) with 5 independent seeds (fixed list: 42,123,2026,777,999); report mean ± 95% bootstrap CI (1,000 resamples) per metric. Use paired Wilcoxon signed-rank tests across seeds with Benjamini–Hochberg correction for multiple comparisons and report Cohen's d effect sizes. Ablation: (A) turn each component off individually, (B) vary SAR components: beta∈{0.9,0.95,0.99}, tau∈{0.6,0.7,0.8}, lambda_scale∈{0,0.5,1.0}, caps w_max∈{2,3,5}. (C) FDA stress-grid: alpha∈{0,0.05,0.1,0.2}, sigma_phi∈{0,0.03,0.06}, band r∈{0.08,0.12,0.2}. Pilot: one-dataset sanity run (e.g., PROMISE12) on 1 A100 for 3–5 days: verify spectral diagnostics, SDM memory overhead, and that pseudo-label accuracy on a held-out labeled validation set does not degrade (no persistent drop &gt;2%). Pre-registered MCID and power: Dice MCID = 0.03 and HD95 reduction = 5 mm; initial sample-size guidance: with Dice SD≈0.08 require ≈60 patients to detect MCID at 80% power; re-estimate sample sizes after pilot variance. Reproducibility and logging: deterministic dataloaders, per-run JSON metadata log, container SHA, and seed-to-run mapping. Report per-case artifact flags and per-voxel acceptance counts.</w:t>
      </w:r>
    </w:p>
    <w:p>
      <w:r>
        <w:t xml:space="preserve"> </w:t>
      </w:r>
    </w:p>
    <w:p>
      <w:pPr>
        <w:pStyle w:val="Heading2"/>
      </w:pPr>
      <w:r>
        <w:t>Risk Factors And Limitations</w:t>
      </w:r>
    </w:p>
    <w:p>
      <w:r>
        <w:t>1) Pseudo-label bias: incorrect teacher predictions can reinforce errors; gating may remove many pixels and reduce unlabeled signal. 2) FDA artifacts: Fourier mixing can corrupt fine boundaries or small-object labels if spectral diagnostics fail or resampling is inaccurate. 3) Scale-head miscalibration: wrong scale estimates can over- or under-weight pixels, harming small-object performance. 4) Compute and memory overhead: SDM regression adds ~20–30% memory and increases runtime; training multiple seeds and ensembles increases cost. 5) Modality and anisotropy: resampling to isotropic spacing may introduce interpolation artifacts; results may not transfer across MRI/CT without per-modality tuning. 6) Small-object class imbalance: extremely small structures may still be missed despite SAR and may require manual review. 7) Hyperparameter sensitivity: many thresholds and ramps (beta, tau, alpha, lambda) require tuning; poor choices can destabilize training. 8) Dataset and annotation bias: Oracle quality depends on adjudicated labels; inter-annotator variability can limit achievable boundary accuracy. 9) Clinical deployment limits: failure-mode detection and clinician-in-loop review are required before any automated release; automated flags may produce false alarms or miss subtle failures.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