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cmrxmotion_robustness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Dataset and benchmarking of motion-robust deep learning for myocardial segmentation and image-quality assessment in cardiac cine MRI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Training deep-learning models with realism-validated k-space and image-space respiratory-motion augmentations on a controlled, multi-vendor cardiac cine MRI dataset causes a statistically significant improvement in segmentation Dice and IQA quadratic-weighted kappa under respiratory motion compared to models trained without such augmentations.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builds deep-learning pipelines for cardiac cine segmentation and automated image-quality assessment (IQA) using architectures like U-Nets and ResNet-based classifiers, and uses image-space augmentations or limited simulated motion to improve robustness. Some efforts apply k-space corruption to simulate motion, and others report uncertainty estimation methods (MC dropout, ensembles) for abstention. Limitations remain: public datasets rarely contain controlled, recorded respiratory traces or vendor-balanced motion stratification; many motion simulations lack k-space realism or formal validation against real-motion scans; evaluation protocols seldom pre-register thresholds or stratify leaderboards by motion severity; and uncertainty-to-clinical-error mapping (e.g., predicted EF error) is underdeveloped. These gaps limit reproducibility, cross-vendor generalization, and clinically meaningful abstention decisions.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Respiratory motion degrades cardiac cine MRI and undermines automated myocardial segmentation and image-quality assessment (IQA). We propose to curate and release a controlled-motion, multi-vendor cardiac cine MRI dataset and to benchmark motion-robust deep-learning models on two tasks: ordinal IQA (motion severity 0–4) and myocardial segmentation under motion artifacts. Our approach combines recorded respiratory traces and k-space perturbations to generate semi-synthetic motion, a BIDS-compliant data standard with tiered access and de-identification, realism validation using image- and k-space metrics plus human and adversarial indistinguishability tests, and reproducible baselines with uncertainty estimation. Main contributions are: (1) a publicly documented controlled-motion dataset and taxonomy, (2) a validated motion-augmentation library gated by realism thresholds, and (3) a pre-registered evaluation protocol linking model uncertainty to EF-error-based abstention rules. Expected outcomes are reproducible baselines, clearer failure modes under motion, and methods that reduce segmentation degradation and improve clinically meaningful IQA compared to standard training without realism-validated motion augmentation.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curation: assemble vendor-balanced cardiac cine studies with recorded respiratory traces and, where available, raw k-space. Store data in BIDS-MRI cardiac format with JSON sidecars that include vendor, sequence parameters, respiratory trace file names, and motion labels. Implement two access tiers: open (de-identified images, no k-space) and controlled (pseudonymized data with k-space under DUA). 2) Motion simulation: implement k-space corruptions (phase ramps, view misordering) and image-space transforms (rigid shifts, B-spline nonrigid warps) driven by recorded traces. K-space methods alter raw frequency data before reconstruction to simulate realistic artifacts; image-space methods warp reconstructed frames. 3) Realism validation: compute SSIM (structural similarity), LPIPS (perceptual distance), PSNR, and k-space residual energy; run blinded human Turing tests and adversarial classifier indistinguishability (classifier AUC) against real-motion exemplars. Gate expansion of synthetic augmentations only after passing pre-registered thresholds. 4) Baselines: implement an IQA ordinal classifier (ResNet50 encoder with ordinal loss like CORAL) and segmentation baselines (nnU-Net 2D/2.5D and a spatio-temporal 3D U-Net ingesting 8–16 frames). 5) Uncertainty and abstention: provide deep ensembles, Monte-Carlo dropout, and heteroscedastic uncertainty losses; calibrate outputs with temperature scaling or isotonic regression. Map per-pixel or per-case uncertainty to EF-error risk using Monte-Carlo mask perturbation: repeatedly sample masks from uncertainty maps, compute EDV/ESV/EF distribution, and derive P(EF error &gt; threshold). 6) Evaluation: compute motion-stratified metrics and bootstrap CIs, report calibration diagnostics (ECE/MCE), and enforce reproducible containers and seeded experiments.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curated CMRxMotion controlled-motion dataset targeting N=1,040–1,120 subjects across four vendors with motion severity bins 0–4 (target per-bin counts: none=120, mild=120, moderate=120, severe=120, extreme=80). Provide vendor-balanced 5-fold cross-validation folds and a held-out vendor test fold. Baselines: (A) segmentation: nnU-Net 2D baseline, 3D spatio-temporal U-Net ingesting 8–16 frames; (B) IQA: ResNet50-based ordinal classifier with CORAL loss. Variants: trains with no motion augmentations, with image-space augmentations, with k-space augmentations, and with realism-gated augmentations. Uncertainty methods: none, MC dropout (N=25 samples), deep ensembles (M=5), heteroscedastic loss. Ablations: (1) k-space vs image-space augmentations, (2) with vs without realism gating, (3) pretraining on external datasets vs training from scratch. Training setup: AdamW optimizer, lr=1e-4, weight decay=1e-5, cosine LR schedule, early stopping on validation loss, three random seeds per experiment. Compute: report per-run GPU type, peak memory, runtime. Evaluation metrics: IQA = quadratic-weighted kappa (QWK); segmentation = motion-stratified mean Dice (average Dice across bins 0–4), HD95, absolute EDV/ESV error (mL), EF bias and limits of agreement (Bland-Altman), ECE and MCE calibration, abstention coverage and P(EF error&gt;7%). Statistical tests: 95% patient-level bootstrap CIs (1,000 resamples) and paired permutation tests with Holm-Bonferroni correction. Primary comparisons: baseline without motion augmentation vs realism-gated k-space augmentation baseline; report per-bin Dice and QWK differences and bootstrap CIs. Secondary: uncertainty method comparison for abstention effectiveness measured by reduction in EF &gt;7% cases at fixed coverage levels.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Realism gap: semi-synthetic motion may not capture all real-world confounders, so improvements may not fully transfer to clinical data. 2) Threshold justification: pre-registered realism gates (SSIM/LPIPS/k-space) may be under- or over-conservative without strong empirical anchors. 3) Class imbalance: extreme-motion and rare pathologies may be underrepresented, limiting statistical power in those bins. 4) Privacy risk: k-space and temporal traces can increase re-identification risk under adversary models; access control is required. 5) Annotation variability: inter-annotator differences can produce noisy ground truth; consensus rules may not resolve all disagreements. 6) Compute cost: spatio-temporal models, ensembles, and realism validation (human tests) require substantial compute and human effort. 7) Evaluation bias: vendor or site confounding may remain despite stratified splits. 8) Abstention misuse: models could game abstention to inflate metrics by abstaining on hard cases. 9) Reproducibility constraints: strict DUA or container rules could hinder independent external validation. 10) Generalization limits: methods tuned to this dataset and augmentation library may not generalize to different scanners, sequences, or clinical workflows.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