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lctfound_diffusion_multimodal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Diffusion-based multimodal lung CT foundation model for reconstruction, segmentation, and clinical prediction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Pretraining a 3D diffusion-based foundation model on large-scale multimodal lung CT data (image volumes, native sinograms, and clinical metadata) causally improves downstream CT tasks—reconstruction SSIM, segmentation Dice, and diagnostic AUC—relative to image-only self-supervision or supervised-from-scratch baselines.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include classical model-based iterative reconstruction (MBIR) that uses physics models but requires per-scan tuning; supervised convolutional networks (for reconstruction and segmentation) trained on paired data but limited by label scarcity; image-space self-supervised pretraining that improves feature reuse but ignores projection physics; diffusion and generative models applied to medical images primarily in 2D or image-space, with limited 3D CT evaluations; and multimodal models that fuse imaging and clinical data mostly for classification. Limitations in prior work are (1) lack of large, multi-center paired sinogram-to-reconstruction corpora, (2) weak modeling of projection-domain degradations and scanner-specific physics during pretraining, (3) limited demonstrations of joint image-plus-metadata pretraining for a broad set of CT tasks, (4) insufficient reproducibility artifacts (seeded splits, checkpoints, provenance), and (5) sparse evaluation of privacy and calibration trade-offs.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 diffusion-pretrained, multimodal lung CT foundation model designed to serve multiple downstream CT tasks including sparse-view and low-dose reconstruction, virtual CTA (iodine mapping), lesion segmentation, diagnostic classification, prognosis, and 3D surgical landmarking. The model is pretrained on a large multi-center corpus of native sinograms, reconstructed volumes, and structured clinical metadata using a 3D conditional diffusion objective that incorporates physics-informed projection corruptions. Main contributions are: (1) joint image-plus-sinogram diffusion pretraining that enforces projection consistency and scanner calibration, (2) a multimodal U-Net with transformer bottleneck and adapter modules to enable parameter-efficient transfer, and (3) an evaluation suite with LOCO splits, phantom realism metrics, and pre-registered endpoints across tasks. We expect pretrained representations to increase downstream accuracy and robustness versus image-only pretraining and supervised baselines, while enabling adaptation with limited labeled data. The work aims to provide reproducible artifacts, privacy options, and concrete ablations to quantify practical trade-offs for clinical translation.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Data curation: assemble a multi-center corpus containing (a) native sinograms where available, (b) reconstructed volumes including MBIR high-dose targets and FBP variants, and (c) structured clinical metadata (age, sex, smoking, clinical labels). Create a provenance ledger with center-level fields: scanner geometry, kernel, contrast usage, and sinogram availability. Phantom calibration: scan standard phantoms per center to estimate detector MTF, spectra, and scatter kernels. Simulation: generate physics-based sinograms from volumes using scanner geometry, polyenergetic spectra, Poisson noise, detector MTF and scatter approximations; produce paired low-dose/sparse-view inputs and MBIR targets. Model architecture: build a 3D hybrid U-Net with convolutional encoder/decoder for local features and transformer blocks in the bottleneck for global context; use windowed axial attention and relative positional encodings tied to voxel spacing. Metadata encoding: convert clinical fields to numeric tokens or embeddings and inject via cross-attention into transformer layers and via FiLM-style modulation into convolutional features. Diffusion pretraining: implement a 3D conditional DDPM that predicts added noise; condition on metadata tokens and on projection-domain corruptions. Corruption curriculum: start with voxel Gaussian noise and inpainting, then add projection-consistent corruptions (sparse-view, low-mAs Poisson noise, detector blur, beam hardening approximations) using a forward-projection operator during corruption. Losses: primary noise-prediction diffusion loss; auxiliary losses include projection-consistency L2 (forward-projected reconstructions vs corrupted sinograms), HU L1 for attenuation fidelity, MS-SSIM for perceptual structure, and a small perceptual loss from a domain-adapted encoder. Training details: train on overlapping 3D patches (128x128x64 voxels), mixed precision, gradient checkpointing, and checkpoint cadence every 10k steps; register random seeds and environment. Adapter and fine-tune strategy: implement LoRA-like adapters in transformer layers and lightweight conv adapters in decoder; default fine-tune freezes most backbone and trains adapters and heads for low-label tasks, allow full fine-tune for larger datasets. Downstream heads: segmentation decoder with Dice+CE loss, residual reconstruction head with L1+SSIM, iodine-map regressor with MAE, and global pooling + MLP for diagnosis/prognosis. Uncertainty and calibration: produce ensembles (N≈5) and MC dropout variants; calibrate with temperature scaling or isotonic regression and report ECE by subgroup. Privacy: support centralized training where allowed, federated secure aggregation when required, and DP-SGD option for centers demanding differential privacy; publish utility-vs-epsilon pilot curves. Reproducibility artifacts: container image, runnable training config, seed registry snapshot, and a small de-identified sample release with annotations.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splits: use lungCT-28M multi-center corpus for pretraining. Define LOCO (leave-one-center-out) folds for evaluation and hold out 2 external centers as a locked test set. Provide a de-identified sample set for reproducibility. Baselines: (A) MBIR targets with no learned prior (classical MBIR); (B) supervised U-Net trained from scratch per task; (C) image-only self-supervised pretraining (3D image-space contrastive or MAE-style) then fine-tuned; (D) diffusion pretraining in image-space only; (E) the proposed multimodal diffusion model. Tasks and metrics: Reconstruction — SSIM, RMSE, HU bias in standardized ROIs, NPS, MTF; Virtual CTA iodine map — MAE absolute and relative, vessel CNR; Segmentation — mean Dice, HD95, lesion-wise sensitivity and PPV, mean surface distance; Diagnostic classification — AUC, sensitivity/specificity at prespecified thresholds, calibration-in-the-large, ECE; Prognosis — Harrell C-index, Brier score; Surgical navigation — landmark localization error (mm), centerline overlap. Primary endpoints: per task select one primary metric (e.g., reconstruction SSIM, segmentation mean Dice, diagnostic AUC). Statistical tests: bootstrap 95% CIs for primaries, DeLong for AUC comparisons, paired tests for continuous metrics, BH correction for multiple comparisons. Pretraining ablations: evaluate simulation/native sinogram mix ratios {50/50, 60/40, 70/30} and record downstream change in primary metrics. Architecture ablations: compare fusion methods (cross-attention vs FiLM vs concatenation), transformer placement (bottleneck only vs mid-level skips), and adapter locations (transformer only vs conv decoder). Loss ablations: disable projection-consistency loss or HU L1 to measure effect on reconstruction HU bias and downstream segmentation. Privacy ablations: run DP-SGD pilots with ε∈{1,3,10} and report metric degradation. Experimental setup: fixed random seeds, mixed-precision training, checkpoint every 10k steps, ensemble size 5 for UQ; report compute used per experiment. Example ablation: measure downstream segmentation Dice and reconstruction SSIM as simulation/native ratio varies; report means and bootstrap CIs and test for noninferiority margin Δ=0.03 for Dice.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Data heterogeneity: variable scanner models, missing sinograms at some centers, and inconsistent contrast protocols may limit pretraining effectiveness. Simulation mismatch: physics simulators may not fully capture real projection noise and scatter, producing a domain gap. Label scarcity and annotation bias: limited high-quality MBIR targets and inter-reader variability can bias supervised evaluations. Compute and storage cost: large-scale 3D diffusion pretraining requires substantial GPU-hours and PB-class storage, which may be a bottleneck for replication. Differential privacy trade-offs: DP-SGD can reduce utility, especially for low-prevalence tasks. Failure modes: hallucinations in synthesized vascular structures, unstable calibration across centers, and degraded performance on unseen scanner models or extreme patient phenotypes. Statistical risks: sample-size estimates depend on pilot variance estimates and may be optimistic. Regulatory and legal constraints: data sharing restrictions may prevent centralized training and slow validation. Generalization limits: pretrained representations may not fully transfer to rare pathologies or non-lung thoracic CT use-cases.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