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digital_personalized_nutrition_rct</w:t>
      </w:r>
    </w:p>
    <w:p>
      <w:r>
        <w:t xml:space="preserve"> </w:t>
      </w:r>
    </w:p>
    <w:p>
      <w:pPr>
        <w:pStyle w:val="Heading2"/>
      </w:pPr>
      <w:r>
        <w:t>Title</w:t>
      </w:r>
    </w:p>
    <w:p>
      <w:r>
        <w:t>A fully remote randomized controlled trial testing self-collected anthropometrics and the effect of personalized nutrition with and without personalized food boxes in adults with overweight or obesity</w:t>
      </w:r>
    </w:p>
    <w:p>
      <w:r>
        <w:t xml:space="preserve"> </w:t>
      </w:r>
    </w:p>
    <w:p>
      <w:pPr>
        <w:pStyle w:val="Heading2"/>
      </w:pPr>
      <w:r>
        <w:t>Short Hypothesis</w:t>
      </w:r>
    </w:p>
    <w:p>
      <w:r>
        <w:t>Adults with overweight or obesity who receive personalized nutrition advice plus a personalized food box will have a greater mean reduction in body weight (kg) at 12 weeks, measured by self-collected weight, than adults who receive generic nutrition advice.</w:t>
      </w:r>
    </w:p>
    <w:p>
      <w:r>
        <w:t xml:space="preserve"> </w:t>
      </w:r>
    </w:p>
    <w:p>
      <w:pPr>
        <w:pStyle w:val="Heading2"/>
      </w:pPr>
      <w:r>
        <w:t>Related Work</w:t>
      </w:r>
    </w:p>
    <w:p>
      <w:r>
        <w:t>Prior research shows that digital and remote interventions can produce modest weight loss and health improvements compared with no treatment, and that personalized nutrition advice can improve dietary behaviors more than generic guidance. Existing remote trials commonly rely on self-reported or device-derived measurements, which introduces measurement error. Validation studies report variable bias and reliability for consumer scales and tape measures, and device heterogeneity is rarely fully adjusted in analyses. Missing data and dropout are common in remote trials and are often handled under an assumption that data are missing at random, leaving results vulnerable to bias if missingness depends on unobserved outcomes. Food-provision studies show improved short-term dietary adherence but raise logistical, cost, and contamination concerns. Current gaps include: limited prespecification for calibration of self-measures, underpowered validation substudies, inconsistent MNAR sensitivity analyses, and sparse operationalization for equity, device provisioning, and image/data consent in fully remote designs.</w:t>
      </w:r>
    </w:p>
    <w:p>
      <w:r>
        <w:t xml:space="preserve"> </w:t>
      </w:r>
    </w:p>
    <w:p>
      <w:pPr>
        <w:pStyle w:val="Heading2"/>
      </w:pPr>
      <w:r>
        <w:t>Abstract</w:t>
      </w:r>
    </w:p>
    <w:p>
      <w:r>
        <w:t>We propose a fully remote, three-arm randomized controlled trial to test whether self-collected anthropometric data can be used reliably to detect short-term weight change and to compare the effectiveness of personalized nutrition advice, personalized nutrition plus a personalized food box, and generic nutrition advice in adults with overweight or obesity. Participants will be screened remotely, randomized, and trained to perform triplicate self-measurements (weight and circumferences) with time-stamped photos/videos. A validation substudy with clinician-measured paired data will estimate bias and enable regression-calibration of self-measures. Dietary intake will be assessed with automated 24-hour recalls and photo-assisted meal logs. The main contribution is an end-to-end protocol that integrates prespecified QC, calibration, MNAR sensitivity analyses, and equity-focused device provisioning to evaluate feasibility and treatment contrasts using self-collected data. Expected outcomes include feasibility metrics for remote measurement, calibrated estimates of weight change by arm at 12 weeks, and operational templates for future remote nutrition trials.</w:t>
      </w:r>
    </w:p>
    <w:p>
      <w:r>
        <w:t xml:space="preserve"> </w:t>
      </w:r>
    </w:p>
    <w:p>
      <w:pPr>
        <w:pStyle w:val="Heading2"/>
      </w:pPr>
      <w:r>
        <w:t>Methodology</w:t>
      </w:r>
    </w:p>
    <w:p>
      <w:r>
        <w:t>1) Recruitment and screening: recruit adults with BMI ≥25 kg/m2 via online and community outreach. Screen remotely with SCOFF (exclude if ≥2), PHQ-9 (refer if total ≥20 or item 9&gt;0), PAR-Q+ and short medical checklist (recent hospitalization, recent bariatric surgery, active cancer treatment, unstable cardiovascular disease, unstable diabetes, pregnancy). 2) Randomization: centralized automated randomization, variable block sizes, stratified by sex and BMI category (25–&lt;30, 30–&lt;35, ≥35). 3) Interventions: (A) generic evidence-based nutrition advice delivered digitally; (B) personalized nutrition advice tailored by baseline diet, preferences and goals; (C) personalized nutrition plus weekly personalized food box. 4) DIY anthropometrics: participants receive 60–90s instructional videos, printable checklist, and are asked to record triplicate weight, waist, hip, neck with time-stamped values and close-up photos; faces may be obscured. Plausibility ranges enforced at entry (height 140–210 cm, weight 40–200 kg, waist 60–160 cm, hip 70–160 cm, neck 25–55 cm). Re-measure if within-person variability &gt;0.5 kg for weight or &gt;1.0 cm for circumferences. 5) Validation substudy: N=80 participants with paired clinician measures within 7 days; collect triplicates in both settings. 6) Calibration: estimate regression-calibration model (true = α + β*observed + γ*covariates + ε) using validation data; covariates include age, sex, device brand, time between measures. Apply population-level calibration to self-measures and store versions. 7) Dietary assessment: automated web 24-hour recalls at baseline and week 12 (three non-consecutive days each) plus 2–3 meal photo logs/week. 8) Data and consent: machine-readable consent toggles for image retention and sharing; secure uploads with time-limited signed URLs and server-side encryption. 9) Analysis: primary estimand = mean difference in change in self-measured weight (kg) baseline to 12 weeks under treatment-policy (ITT). Primary model = linear mixed effects model with random intercepts, adjusted for baseline weight and stratification factors. Missing data handled with multiple imputation (MICE) and MNAR sensitivity via pattern-mixture delta adjustments. 10) Monitoring and QC: automated plausibility checks, central blinded photo QC with two retry opportunities, and escalation to live coaching after repeated failures.</w:t>
      </w:r>
    </w:p>
    <w:p>
      <w:r>
        <w:t xml:space="preserve"> </w:t>
      </w:r>
    </w:p>
    <w:p>
      <w:pPr>
        <w:pStyle w:val="Heading2"/>
      </w:pPr>
      <w:r>
        <w:t>Experiments</w:t>
      </w:r>
    </w:p>
    <w:p>
      <w:r>
        <w:t>1) Datasets: pilot dataset N=30–50 for feasibility; validation substudy N=80 for calibration; main trial example N≈450 (≈150 per arm) for powered contrasts. 2) Arms/Baselines: three arms: generic advice (control), personalized advice, personalized advice + personalized food box. 3) Primary endpoint: change in body weight (kg) from baseline to 12 weeks measured by triplicate self-measurements that passed QC. Secondary endpoints: percent weight change, waist circumference, proportion usable self-measures, retention, adherence metrics (photo logs submitted/week), and validation metrics (bias, RMSE, ICC). 4) Baseline comparators: compare to uncalibrated self-measures and to calibration-adjusted self-measures (regression-calibration). 5) Evaluation metrics and tests: report adjusted mean differences with 95% CI using linear mixed effects models; hierarchical testing: first test personalized+box vs generic at α=0.05, then personalized vs generic if significant. Validation metrics: mean bias (mean(self - clinician)), RMSE, intraclass correlation coefficient (ICC), Bland-Altman limits. Missing data methods: MICE (multiple imputation by chained equations) with 50 imputations, predictor set = baseline weight, demographics (age, sex, race/ethnicity), baseline diet scores, engagement metrics (logins, photo submissions), and device metadata; MNAR sensitivity deltas = 0, +0.5, +1.0, +1.5 kg applied to imputed 12-week weights. 6) Randomization and stratification: central randomization stratified by sex and BMI bands. 7) Validation timing and sampling: paired clinician/self measures within 7 days of baseline; stratify validation sample by device class (consumer vs provided), age (&lt;45 vs ≥45), BMI strata, and aim for ≥40% underrepresented groups. 8) Ablation studies: (A) run analysis with and without regression-calibration to quantify calibration impact; (B) compare personalized arm with and without food box to isolate box effect; (C) per-protocol vs ITT analyses to assess influence of adherence. 9) Power/sample assumptions: using σ=4.0 kg, detect Δ=1.5 kg between arms at 80% power requires ~112 per arm; inflate to ~150 per arm for 25% attrition. 10) Software and reproducibility: analysis implemented in R with lme4 (mixed models), mice (imputation), simex/regression-calibration packages; versioned code repository and data dictionary.</w:t>
      </w:r>
    </w:p>
    <w:p>
      <w:r>
        <w:t xml:space="preserve"> </w:t>
      </w:r>
    </w:p>
    <w:p>
      <w:pPr>
        <w:pStyle w:val="Heading2"/>
      </w:pPr>
      <w:r>
        <w:t>Risk Factors And Limitations</w:t>
      </w:r>
    </w:p>
    <w:p>
      <w:r>
        <w:t>1) Measurement validity: self-collected weights and circumferences may have systematic bias and variable reliability across devices, limiting accuracy even after calibration. 2) Device heterogeneity: many consumer scales and tapes differ in performance; validation may not cover all device models. 3) Validation selection bias: participants who join the validation substudy may differ from the main trial, reducing representativeness of calibration estimates. 4) Missing data and MNAR: dropout may depend on unobserved outcomes (e.g., those gaining weight drop out), creating bias that is hard to fully correct. 5) Adherence and contamination: low adherence to measurement or food-box use and household sharing of materials can reduce contrast between arms. 6) Logistical failures: food-box cold-chain breaches, delayed deliveries, or vendor failures can affect intervention fidelity. 7) Privacy/regulatory constraints: cross-border data flows or participant requests to delete images may reduce usable validation data. 8) Short follow-up: 12 weeks limits inference about long-term weight maintenance. 9) Power sensitivity: sample-size calculations depend on assumed SD and attrition; misspecification may underpower comparisons. 10) Generalizability: results apply to adults with overweight/obesity comfortable with digital tools and may not generalize to populations with low digital access or different cultural diets.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