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w:t>
      </w:r>
    </w:p>
    <w:p>
      <w:r>
        <w:t xml:space="preserve"> </w:t>
      </w:r>
    </w:p>
    <w:p>
      <w:pPr>
        <w:pStyle w:val="Heading2"/>
      </w:pPr>
      <w:r>
        <w:t>Title</w:t>
      </w:r>
    </w:p>
    <w:p>
      <w:r>
        <w:t>Quantitative point-of-care identification of Group B Streptococcus using chromogenic culture pigment absorption spectroscopy</w:t>
      </w:r>
    </w:p>
    <w:p>
      <w:r>
        <w:t xml:space="preserve"> </w:t>
      </w:r>
    </w:p>
    <w:p>
      <w:pPr>
        <w:pStyle w:val="Heading2"/>
      </w:pPr>
      <w:r>
        <w:t>Short Hypothesis</w:t>
      </w:r>
    </w:p>
    <w:p>
      <w:r>
        <w:t>Measuring chromogenic media pigment absorption by a dedicated spectroscopic reader and converting the signal via a calibrated mixed-effects model yields a quantitative CFU/swab estimate that classifies samples with ≥10^4 CFU/swab with ≥95% sensitivity within 90 minutes.</w:t>
      </w:r>
    </w:p>
    <w:p>
      <w:r>
        <w:t xml:space="preserve"> </w:t>
      </w:r>
    </w:p>
    <w:p>
      <w:pPr>
        <w:pStyle w:val="Heading2"/>
      </w:pPr>
      <w:r>
        <w:t>Related Work</w:t>
      </w:r>
    </w:p>
    <w:p>
      <w:r>
        <w:t>Existing approaches to rapid GBS detection include culture on selective or chromogenic agar, laboratory-based enriched culture, and nucleic acid amplification tests (NAATs). Chromogenic media are specific but typically require hours (6–24 h) for visible colony pigmentation. Rapid enzymatic or metabolic reporters can reduce time-to-detection but often trade analytic sensitivity or specificity. Portable optical readers and colorimetric strips have been applied for qualitative or semi-quantitative detection, but prior methods rarely provide a validated quantitative link between pigment intensity and CFU in clinical matrices. Limitations in prior work include (1) long incubation times for conservative chromogens, (2) high per-strain variability in pigment production, (3) matrix and interferent effects (blood, mucus, lubricants) that obscure color readouts, (4) lack of robust calibration transfer across strains/lots/readers, and (5) insufficient biosafety/inactivation strategies for near-patient use.</w:t>
      </w:r>
    </w:p>
    <w:p>
      <w:r>
        <w:t xml:space="preserve"> </w:t>
      </w:r>
    </w:p>
    <w:p>
      <w:pPr>
        <w:pStyle w:val="Heading2"/>
      </w:pPr>
      <w:r>
        <w:t>Abstract</w:t>
      </w:r>
    </w:p>
    <w:p>
      <w:r>
        <w:t>Group B Streptococcus (GBS) colonization screening in pregnancy requires rapid, accurate quantification to guide intrapartum prophylaxis. We propose a point-of-care method that measures pigment produced by GBS on chromogenic media via specific absorption spectroscopy, converts the optical signal into an electrical readout, and maps that readout to colony-forming units per swab (CFU/swab) using a calibrated mixed-effects model. The main contribution is an integrated workflow combining (1) selection of rapid chromogens or enzymatic reporters, (2) a fixed-path transmission optical reader with lock-in detection for high signal-to-noise, (3) two-stage calibration using pigment standards and multi-strain biological panels to capture strain and lot variability, and (4) defined biosafety and per-run controls. Expected outcomes are a validated analytical LOD/LOQ in CFU/swab, an operational decision threshold at 10^4 CFU/swab, and demonstration of ≥95% sensitivity for intrapartum classification within a clinically acceptable time. This approach aims to enable quantitative, near-patient GBS screening that informs prophylaxis decisions.</w:t>
      </w:r>
    </w:p>
    <w:p>
      <w:r>
        <w:t xml:space="preserve"> </w:t>
      </w:r>
    </w:p>
    <w:p>
      <w:pPr>
        <w:pStyle w:val="Heading2"/>
      </w:pPr>
      <w:r>
        <w:t>Methodology</w:t>
      </w:r>
    </w:p>
    <w:p>
      <w:r>
        <w:t>1) Chromogen selection and spectra: measure full optical spectra (400–700 nm) for candidate chromogens (e.g., Granada carotenoid, StrepBSelect variants) and enzymatic reporters (e.g., tetrazolium/formazan, MUG) in buffer and pooled clinical matrix. Identify λmax (wavelength of maximum absorbance) and photostability. 2) Sample handling: standardize swab/elution SOP: sterile Dacron or flocked swab, elute into 1.0 mL PBS + 0.05% Tween-20, vortex 60 s, compress swab; transfer defined volume into cartridge. 3) Optics and electronics: build a reader with a fixed microchannel transmission path (1–2 mm), narrowband LED at λmax ±10 nm, reference LED, modulate at 1–5 kHz and use synchronous demodulation (lock-in) to reject ambient light; silicon photodiode + selectable TIA gains and 16–24 bit ADC. 4) Spectral compensation: when blood or bilirubin present, use 2–3 wavelength measurements and constrained non-negative least squares unmixing to separate pigment, hemoglobin and turbidity signals. 5) Two-stage calibration: (A) electrical signal → compensated absorbance using multi-point purified pigment standards; (B) absorbance → log10(CFU) using mixed-effects regression with random effects for strain, lot, and reader. 6) LOD/LOQ and CI: compute LOD_abs = mean_blank + 3·SD and LOQ_abs = mean_blank + 10·SD (≥20 blanks), convert to CFU by inverse calibration and propagate uncertainty via bootstrap to produce 95% CI for each measurement. 7) Controls and biosafety: include on-cartridge positive and negative controls; design sealed cartridge with 0.2 µm vent and post-run chemical neutralizer or thermal kill; validate ≥6-log reduction and ensure control signal shifts ≤±10%. 8) Firmware/reporting: present CFU estimate, 95% CI and three-state result (Negative, Positive at ≥10^4 CFU, Indeterminate when CI spans threshold).</w:t>
      </w:r>
    </w:p>
    <w:p>
      <w:r>
        <w:t xml:space="preserve"> </w:t>
      </w:r>
    </w:p>
    <w:p>
      <w:pPr>
        <w:pStyle w:val="Heading2"/>
      </w:pPr>
      <w:r>
        <w:t>Experiments</w:t>
      </w:r>
    </w:p>
    <w:p>
      <w:r>
        <w:t>1) Analytical kinetics and LOD/LOQ: panel: 30–40 genetically diverse GBS isolates covering capsular types Ia–IX and ATCC references; specificity panel: Lactobacillus spp., Gardnerella, Enterococcus faecalis, E. coli, S. pyogenes, other streptococci, Candida. Inocula: 10^1–10^6 CFU/swab equivalents. Timepoints: 0,15,30,45,60,90,120,180 min for rapid chemistries; 6,12,18,24 h for agar. Replicates: n=8–20 around expected LOD (densely sampled) and n=3–5 elsewhere. Measure absorbance, compute LOD_abs and LOQ_abs (≥20 blanks), and fit mixed-effects regression log10(CFU)=β0+β1·A+u_strain+u_lot+u_reader+ε. Verify empirical LOD with ≥20 replicates at near-LOD inocula. 2) Interference and matrix testing: spike GBS into true vaginal/rectal matrix with blood 1–5% v/v, mucus simulant, lubricants, antiseptics, and residual antibiotics; test GBS:non-GBS ratios 1:100, 1:1, 100:1. Replicates n=5 per condition. Evaluate residual bias after spectral unmixing. 3) Calibration commutability: prepare purified pigment extracts and two synthetic dye surrogates matched to λmax; run parallel dilution series in matrix-matched cartridges and biological panels; acceptance ≤15% bias across mid-range. 4) Optical geometry ablation: compare transmission (1–2 mm) vs reflectance/integrating cavity geometry; metrics: absorbance CV, SNR, and LOQ in CFU. 5) Chromogen ablation: compare top 3 chromogens and enzymatic reporters for time-to-detection, LOQ, specificity; metrics: median time to reach signal corresponding to 10^4 CFU, sensitivity/specificity at that time. 6) Clinical pilot: prospective blinded paired study N=400–500 pregnant subjects; collect paired swabs for test and composite reference (enriched culture + selective chromogenic agar + NAAT targeting cfb, CT≤35). Primary metrics: sensitivity, specificity, positive predictive value (PPV), negative predictive value (NPV) at threshold ≥10^4 CFU/swab; report 95% CIs. 7) Pivotal design: plan N≈1,000–1,500 powered for non-inferiority to NAAT (prespecified margin e.g., 5%). 8) Statistical analyses: ROC curves, decision threshold selection prioritizing ≥95% intrapartum sensitivity, bootstrap CI for LOQ and CFU estimates, variance component estimates for strain/lot/reader. 9) Ablation study examples: (A) with vs without spectral unmixing, (B) purified pigment calibrator vs pooled clinical calibrator, (C) transmission vs reflectance optics. Report differences in bias, CV, and indeterminate rate.</w:t>
      </w:r>
    </w:p>
    <w:p>
      <w:r>
        <w:t xml:space="preserve"> </w:t>
      </w:r>
    </w:p>
    <w:p>
      <w:pPr>
        <w:pStyle w:val="Heading2"/>
      </w:pPr>
      <w:r>
        <w:t>Risk Factors And Limitations</w:t>
      </w:r>
    </w:p>
    <w:p>
      <w:r>
        <w:t>1) Biological variability: pigment yield per CFU may vary widely across GBS strains and growth conditions, limiting accuracy of CFU estimates. 2) Time-to-result: chromogen pigment may not reach detectable levels within intrapartum windows for many strains; enzymatic reporters may trade specificity. 3) Matrix and interferents: blood, feces, lubricants and antiseptics can alter spectra and cause bias that spectral unmixing may not fully remove. 4) Calibration commutability: synthetic or purified pigment standards may not represent in-matrix pigment, causing systematic bias across lots/readers. 5) Biosafety interactions: inactivation chemistry or thermal kill steps may alter pigment signal or control behavior. 6) Sample handling variability: swab type, elution efficiency and operator technique can introduce uncontrolled variance. 7) Analytical limits: achieving LOQ with ≤±0.5 log CFU uncertainty at the 10^4 CFU threshold may be infeasible in practice. 8) Clinical prevalence and power: low prevalence reduces positive counts in pilot studies and may require larger cohorts. 9) Regulatory and CLIA path: meeting criteria for near-patient use and CLIA-waiver requires stringent human factors and biosafety evidence that may be hard to satisfy. 10) Generalization: method may not generalize to non-pigmented strains or mixed infections where pigment is suppressed.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