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sn_pb_trace_provenance_sa</w:t>
      </w:r>
    </w:p>
    <w:p>
      <w:r>
        <w:t xml:space="preserve"> </w:t>
      </w:r>
    </w:p>
    <w:p>
      <w:pPr>
        <w:pStyle w:val="Heading2"/>
      </w:pPr>
      <w:r>
        <w:t>Title</w:t>
      </w:r>
    </w:p>
    <w:p>
      <w:r>
        <w:t>Integrating lead and tin isotopes with trace element chemistry to identify tin sources in southern African bronzes ca. 1200–1800 CE</w:t>
      </w:r>
    </w:p>
    <w:p>
      <w:r>
        <w:t xml:space="preserve"> </w:t>
      </w:r>
    </w:p>
    <w:p>
      <w:pPr>
        <w:pStyle w:val="Heading2"/>
      </w:pPr>
      <w:r>
        <w:t>Short Hypothesis</w:t>
      </w:r>
    </w:p>
    <w:p>
      <w:r>
        <w:t>Combining lead isotope ratios, tin isotope values, and trace element profiles enables reproducible identification of geographic tin sources in southern African bronzes and allows detection of source contributions of at least 10% in mixed alloys.</w:t>
      </w:r>
    </w:p>
    <w:p>
      <w:r>
        <w:t xml:space="preserve"> </w:t>
      </w:r>
    </w:p>
    <w:p>
      <w:pPr>
        <w:pStyle w:val="Heading2"/>
      </w:pPr>
      <w:r>
        <w:t>Related Work</w:t>
      </w:r>
    </w:p>
    <w:p>
      <w:r>
        <w:t>Previous studies have used lead isotopes, tin isotopes, or trace elements individually to infer metal provenance. Some work combined two of these methods, but approaches often treat isotope systems separately, lack standardized sample‑preparation and interlab calibration, and do not fully propagate measurement and blank uncertainties. Ore reference databases are patchy, many ore fields show non‑Gaussian and overlapping distributions, and recycling/multistage remelting is under‑modelled. Statistical treatments have used simple mixing models or frequentist assignments without full multivariate uncertainty propagation. Current limitations include inconsistent Sn isotope reference standards and interlab offsets, insufficient treatment of corrosion/diagenesis effects, limited experimental validation of process offsets (volatilization and fractionation during smelting), and weak power analyses showing which source contrasts are actually resolvable.</w:t>
      </w:r>
    </w:p>
    <w:p>
      <w:r>
        <w:t xml:space="preserve"> </w:t>
      </w:r>
    </w:p>
    <w:p>
      <w:pPr>
        <w:pStyle w:val="Heading2"/>
      </w:pPr>
      <w:r>
        <w:t>Abstract</w:t>
      </w:r>
    </w:p>
    <w:p>
      <w:r>
        <w:t>We address the problem of identifying geographic sources of tin used in southern African bronze artifacts dated ca. 1200–1800 CE by integrating three complementary chemical lines of evidence: lead isotope ratios, tin isotope compositions, and trace element concentrations. The proposed approach combines standardized micro‑sampling and chemical separation protocols, interlab calibration, a curated ore reference database, controlled experimental smelts, and a Bayesian multivariate mixing model that propagates analytical and correction uncertainties. The main contribution is a reproducible framework that quantifies source probabilities and minimum detectable source proportions while explicitly modelling process offsets from smelting and recycling. Expected outcomes are: (1) statistically robust source assignments for archaeological bronzes, (2) quantification of confidence and limits where sources overlap, and (3) an open archive of raw data, reduction scripts, and model code to enable transparent reuse. The framework aims to clarify regional and long‑distance tin provisioning in southern Africa and to set metrological standards for future provenance studies.</w:t>
      </w:r>
    </w:p>
    <w:p>
      <w:r>
        <w:t xml:space="preserve"> </w:t>
      </w:r>
    </w:p>
    <w:p>
      <w:pPr>
        <w:pStyle w:val="Heading2"/>
      </w:pPr>
      <w:r>
        <w:t>Methodology</w:t>
      </w:r>
    </w:p>
    <w:p>
      <w:r>
        <w:t>1) Sampling and screening: Select interior metal by minimally destructive micro‑drilling (0.5–1.5 mm); document drill location and depth with photos. Screen aliquots by pXRF and SEM‑EDS; accept only interior material with oxygen ≤2 at.% and corrosion mass &lt;5% of aliquot. 2) Chemical preparation: Add a 117Sn–119Sn double spike to each powdered aliquot before chemistry (target spike/sample atom ratio ≈1:1). Dissolve in concentrated HNO3 + H2O2 in closed PFA vials, evaporate and convert to HBr for Pb or HCl for Sn workflows. 3) Separation SOPs: Use AG1‑X8 or TODGA microcolumns (resin bed ≈200 µL, vol ≈1 mL). Pb: load in 6 M HBr, wash 3×2 mL, elute with 0.5 M HCl. Sn: load in 8 M HCl, wash 3×2 mL, elute by lowering chloride to 0.2–0.5 M HCl and polish. Record recoveries. 4) Isotope and trace analyses: Measure Pb ratios (206/204, 207/204, 208/204) by MC‑ICP‑MS; measure Sn isotope delta values via double‑spike reduction; measure trace elements by LA‑ICP‑MS or solution ICP‑MS with EPMA majors for internal standardization. 5) Standards and interlab calibration: Bracket runs with NIST SRM 981 for Pb, use an interlab exchanged cassiterite/metal standard for Sn, and NIST SRM 610/612 + matrix‑matched bronze for trace elements. Record full covariance and blanks. 6) Ore database: Curate cassiterite and historical concentrate samples with coordinates, methods, and measurement covariances; characterise distributions and flag multimodality. 7) Experimental validation: Produce controlled binary and ternary alloy mixes and repeated remelts (replicates n=5; proportions 100:0, 90:10, 75:25, 50:50, 25:75, 10:90; 900–1200°C); analyse metal, slag and condensate for isotopes and traces to quantify process offsets. 8) Modelling: Implement a Bayesian multivariate mixing model in Stan. Represent sources as multivariate normals (or mixture models when non‑Gaussian) over Pb ratios, Sn delta, and clr‑transformed trace vectors. Mixing proportions ~ Dirichlet(alpha). Include per‑sample process offset terms for Sn (permil) and Pb (ratio units) and lab random effects. Propagate measurement, blank and interlab uncertainties through likelihoods. 9) Outputs and archiving: Archive raw files, reduction scripts, covariance matrices, and metadata in a versioned repository; report posterior source probabilities, credible intervals, confusion matrices and minimum detectable source thresholds.</w:t>
      </w:r>
    </w:p>
    <w:p>
      <w:r>
        <w:t xml:space="preserve"> </w:t>
      </w:r>
    </w:p>
    <w:p>
      <w:pPr>
        <w:pStyle w:val="Heading2"/>
      </w:pPr>
      <w:r>
        <w:t>Experiments</w:t>
      </w:r>
    </w:p>
    <w:p>
      <w:r>
        <w:t>Datasets: (A) Pilot archaeological set: n=20–30 bronzes covering regional/time/type variation. (B) Full archaeological set: n=153 bronzes (1200–1800 CE). (C) Ore reference set: prioritized ores from Bangka‑Belitung, Koba, Yunnan, Jos Plateau, selected DRC/Rwanda/Tanzania sites, Cornwall/Erzgebirge, with ≥3–5 samples per deposit. (D) Experimental smelts: controlled binary/ternary mixes and repeated remelts, replicates n=5 per mix. Baselines: (1) Pb‑only model, (2) Sn‑only model, (3) trace‑only model, (4) Pb+trace, (5) Sn+trace, (6) combined Pb+Sn+trace (proposed). Evaluation metrics: source assignment accuracy (fraction correct), true positive rate for detecting ≥10% source contribution, RMSE and MAE of estimated source proportions, credible interval width, posterior coverage (proportion of true proportions within 95% credible intervals), confusion matrices, interlab offset (ppm or ‰), PSIS‑LOO and posterior predictive checks. Experimental setup: run interlab blind exchange of 12 aliquots (6 for Pb, 6 for Sn) plus blind duplicates equal to ≥10% of archaeological samples; run duplicate chemical separations on ≥10% of samples. Perform ≥1000 simulated‑recovery experiments by generating synthetic mixtures from ore distributions, adding measured process offsets and lab noise, and evaluating recovery metrics. Ablations: (A) remove Sn data to test Sn contribution, (B) remove Pb data, (C) remove trace elements, (D) replace parametric source priors with empirical resampling, (E) vary σSn and σPb defaults (e.g., 0.1–0.5‰ for Sn; 2e‑4–2e‑3 for Pb). Report results per time bin (50‑year bins) and per regional grouping. All analyses implemented in Stan with 4 chains; record Rhat and ESS diagnostics.</w:t>
      </w:r>
    </w:p>
    <w:p>
      <w:r>
        <w:t xml:space="preserve"> </w:t>
      </w:r>
    </w:p>
    <w:p>
      <w:pPr>
        <w:pStyle w:val="Heading2"/>
      </w:pPr>
      <w:r>
        <w:t>Risk Factors And Limitations</w:t>
      </w:r>
    </w:p>
    <w:p>
      <w:r>
        <w:t>1) Corrosion/diagenesis: altered surfaces may carry shifted Pb, Sn or trace signals; some artifacts lack sufficient fresh metal for analysis. 2) Overlapping endmembers: geochemical overlap between ore provinces can make source separation unresolvable for some contrasts. 3) Incomplete ore database: missing or poorly characterised ore fields reduce model identifiability. 4) Interlab bias and standardisation: lack of certified Sn isotope CRMs or inconsistent lab protocols can introduce systematic errors. 5) Smelting/recycling ambiguity: multistage recycling and alloy mixing can mimic primary source mixtures and confound assignments. 6) Analytical limits: LOD/LOQ for key trace tracers may be insufficient in low‑concentration samples. 7) Collinearity: correlated tracers reduce effective independent information and complicate inference. 8) Model misspecification: treating multimodal or heavy‑tailed source distributions as simple normals can bias results. 9) Computational cost: full multivariate Bayesian runs with many sources and samples can be slow and require tuning. 10) Ethical/sampling limits: constraints on destructive sampling and embargoes may reduce sample sizes and coverage.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