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phnom_dek_slag_recipes</w:t>
      </w:r>
    </w:p>
    <w:p>
      <w:r>
        <w:t xml:space="preserve"> </w:t>
      </w:r>
    </w:p>
    <w:p>
      <w:pPr>
        <w:pStyle w:val="Heading2"/>
      </w:pPr>
      <w:r>
        <w:t>Title</w:t>
      </w:r>
    </w:p>
    <w:p>
      <w:r>
        <w:t>Multivariate slag chemistry, experimental smelting and hierarchical Bayesian provenance to trace technological trajectories in iron production at Phnom Dek, Cambodia (7th–20th c. CE)</w:t>
      </w:r>
    </w:p>
    <w:p>
      <w:r>
        <w:t xml:space="preserve"> </w:t>
      </w:r>
    </w:p>
    <w:p>
      <w:pPr>
        <w:pStyle w:val="Heading2"/>
      </w:pPr>
      <w:r>
        <w:t>Short Hypothesis</w:t>
      </w:r>
    </w:p>
    <w:p>
      <w:r>
        <w:t>Variation in slag chemical and mineralogical signatures at Phnom Dek is driven primarily by changes in smelting recipes (ore type, flux addition, tuyère geometry, and airflow) rather than by changes in ore-source chemistry, and these recipe-driven changes produce reproducible multivariate slag clusters detectable after accounting for fractionation and taphonomic alteration.</w:t>
      </w:r>
    </w:p>
    <w:p>
      <w:r>
        <w:t xml:space="preserve"> </w:t>
      </w:r>
    </w:p>
    <w:p>
      <w:pPr>
        <w:pStyle w:val="Heading2"/>
      </w:pPr>
      <w:r>
        <w:t>Related Work</w:t>
      </w:r>
    </w:p>
    <w:p>
      <w:r>
        <w:t>Prior work uses slag geochemistry, mineralogy, isotopes, experimental smelts, and ethnography to infer past iron production practices. Common approaches: bulk chemical classification, phase analysis (XRD), microstructure (SEM/EPMA), Fe and Pb isotope comparisons, and experimental replication to link recipes to slag. Limitations: many studies lack large, stratified archaeological slag samples, have limited experimental factorial control, insufficient isotope fractionation calibrations, inconsistent inter-lab QA/QC, weak treatment of post-depositional alteration (diagenesis), and few hierarchical Bayesian provenance models that propagate measurement and chronological uncertainty. Ethnographic data are often used qualitatively rather than as formal priors. Overlapping ore geochemistry across catchments can cause non-unique provenance; few studies prespecify priors or sensitivity analyses for Bayesian models.</w:t>
      </w:r>
    </w:p>
    <w:p>
      <w:r>
        <w:t xml:space="preserve"> </w:t>
      </w:r>
    </w:p>
    <w:p>
      <w:pPr>
        <w:pStyle w:val="Heading2"/>
      </w:pPr>
      <w:r>
        <w:t>Abstract</w:t>
      </w:r>
    </w:p>
    <w:p>
      <w:r>
        <w:t>This study aims to resolve long-term technological change in iron production at Phnom Dek (Cambodia, 7th–20th c. CE) by linking archaeological slag signatures to controlled smelting recipes and transmission pathways. We combine stratified archaeological sampling and robust chronologies with a fractional-factorial experimental program that varies ore type, flux, tuyère geometry and airflow. Laboratory analyses include bulk chemistry, mineral phases, microstructure, and Fe/Pb isotopes with inter-laboratory blind tests. Ethnographic variables are coded and used as informative priors within a hierarchical Bayesian provenance and classification framework that propagates analytical and chronological uncertainty. Main contributions: (1) empirical recipe→slag calibration curves including isotope fractionation distributions, (2) reproducible hierarchical models that quantify provenance and recipe-change probabilities, and (3) operational taphonomy criteria to accept or downweight samples. Expected outcome: objective, testable reconstructions of when and how smelting recipes changed or persisted at Phnom Dek, and open datasets, SOPs and containerised code for reproducible archaeometallurgical inference.</w:t>
      </w:r>
    </w:p>
    <w:p>
      <w:r>
        <w:t xml:space="preserve"> </w:t>
      </w:r>
    </w:p>
    <w:p>
      <w:pPr>
        <w:pStyle w:val="Heading2"/>
      </w:pPr>
      <w:r>
        <w:t>Methodology</w:t>
      </w:r>
    </w:p>
    <w:p>
      <w:r>
        <w:t>1) Sampling and chronology: collect ≥100 archaeological slag samples stratified into four temporal bins (~25/bin) from sealed production features; obtain 60–90 AMS dates (two per sealed feature) and 20–30 OSL where needed. Record full context metadata. 2) Laboratory analyses: prepare polished mounts and powders. Run ICP-OES/MS for major and trace elements (bulk chemistry), XRD for phase identification (minerals present), EPMA/SEM for phase chemistry and textures, and MC-ICP-MS double-spike for δ56Fe plus bracketing for Pb isotopes. Define CRMs (OREAS/NIST), blanks, and duplicates. 3) Experimental program: pilot 8–10 smelts; then fractional-factorial 2 (ore) × 2 (flux) × 2 (tuyère) × 2 (airflow) = 16 cells with 2–3 replicates (32–48 runs). Instrument furnaces with thermocouples and CO/CO2 logging. Archive experimental slags and prills as blind controls. 4) Diagenesis and taphonomy tests: run weathering indices (Fe3+/Fe2+ proxies), petrographic alteration scoring, leaching tests, and compare mineral phases to identify altered slags. 5) Data integration and modeling: unsupervised exploration (PCA: principal component analysis — a way to reduce many variables into main patterns) and Gaussian mixture/Ward clustering to detect groups. Train supervised classifiers (random forest, SVM) on experimental dataset. Build hierarchical Bayesian models (Stan/PyMC3) with levels for lab measurement error, sample heterogeneity, and chronological uncertainty by importing OxCal posterior age PDFs. Use ethnographic variables as informative priors where appropriate. 6) Reproducibility and QA: containerise code and workflows (Docker), publish SOPs, run a three-lab ring test with 30 blind samples, and archive data with DOIs.</w:t>
      </w:r>
    </w:p>
    <w:p>
      <w:r>
        <w:t xml:space="preserve"> </w:t>
      </w:r>
    </w:p>
    <w:p>
      <w:pPr>
        <w:pStyle w:val="Heading2"/>
      </w:pPr>
      <w:r>
        <w:t>Experiments</w:t>
      </w:r>
    </w:p>
    <w:p>
      <w:r>
        <w:t>Datasets: archaeological slag set (N&gt;=100, stratified four bins), ore-source reference set (20–30 discrete localities × 3–5 profile samples), stream-placer transect set (50–100 samples), experimental slag/prill set (32–48 runs plus 8–10 pilot). Baselines: (A) provenance models using only archaeological chemistry and isotopes without experimental priors; (B) supervised classifiers trained on experimental controls; (C) Bayesian models with non-informative priors. Lab methods: ICP-OES/MS (majors/traces), XRD (phase quant.), EPMA (phase chem.), MC-ICP-MS double-spike for δ56Fe, Pb isotope bracketing, micromorphology thin sections, AMS and OSL dating. Evaluation metrics: clustering: Adjusted Rand Index (ARI), silhouette score; classification: accuracy, precision-recall, ROC AUC; Bayesian models: posterior predictive checks, posterior probability of source/recipe assignments, credible intervals; isotope fractionation: RMSE and confidence intervals for Δ56Fe estimates; power: achieved statistical power for detecting medium effect sizes (f2≈0.25). Experimental setup: perform pilot runs to confirm instrumentation then run factorial experiments with 3 replicates per cell; collect slag samples from hearth/margin/distal per run. Ablation study 1: compare classifier performance with vs without experimental priors. Ablation study 2: run Bayesian models with different prior strengths (informative ethnographic priors, weakly informative priors, flat priors) and report sensitivity of posterior assignments. Cross-validation: nested k-fold (k=5) for supervised models and holdout experimental runs as test set. Inter-lab test: submit 30 blind samples to three labs; compute inter-lab variance and apply as measurement-error hyperpriors in Bayesian models.</w:t>
      </w:r>
    </w:p>
    <w:p>
      <w:r>
        <w:t xml:space="preserve"> </w:t>
      </w:r>
    </w:p>
    <w:p>
      <w:pPr>
        <w:pStyle w:val="Heading2"/>
      </w:pPr>
      <w:r>
        <w:t>Risk Factors And Limitations</w:t>
      </w:r>
    </w:p>
    <w:p>
      <w:r>
        <w:t>1) Diagenesis: post-depositional weathering may alter slag chemistry and δ56Fe; altered samples may reduce usable dataset. 2) Non-unique end-members: overlapping ore geochemistry can make provenance ambiguous. 3) Weak fractionation signal: recipe-driven δ56Fe shifts may be smaller than analytical or process noise. 4) Sample limits: destructive-sampling caps from curators may force smaller powder masses, reducing analytical precision. 5) Inter-lab variance: high between-lab differences can inflate uncertainty and require re-runs. 6) Chronological gaps: insufficient dating or mixed contexts can blur temporal patterns. 7) Ethnographic bias: living practice may not represent historical recipes; using ethnography as priors risks bias if not tested. 8) Computation: hierarchical Bayesian models with many samples and variables may require high compute and long run times. 9) Generalizability: results may be specific to Phnom Dek ores, fuels, and furnace types and not directly transferable to other regions. 10) Social/ethical constraints: restrictions on publishing exact ore coordinates or personal data may limit reproducibility of provenance maps.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