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composite_bow_eurasia</w:t>
      </w:r>
    </w:p>
    <w:p>
      <w:r>
        <w:t xml:space="preserve"> </w:t>
      </w:r>
    </w:p>
    <w:p>
      <w:pPr>
        <w:pStyle w:val="Heading2"/>
      </w:pPr>
      <w:r>
        <w:t>Title</w:t>
      </w:r>
    </w:p>
    <w:p>
      <w:r>
        <w:t>Bayesian hierarchical integration of iconographic, material, genetic, and experimental evidence to reassess the origins of the full horn–wood–sinew composite bow in ancient Eurasia</w:t>
      </w:r>
    </w:p>
    <w:p>
      <w:r>
        <w:t xml:space="preserve"> </w:t>
      </w:r>
    </w:p>
    <w:p>
      <w:pPr>
        <w:pStyle w:val="Heading2"/>
      </w:pPr>
      <w:r>
        <w:t>Short Hypothesis</w:t>
      </w:r>
    </w:p>
    <w:p>
      <w:r>
        <w:t>If the full horn–wood–sinew composite bow originated from a single Bronze Age innovation in the Eurasian steppe, then a diffusion model will fit the combined iconographic, imaging, proteomic, radiocarbon, and genetic data significantly better than models of multiple independent inventions.</w:t>
      </w:r>
    </w:p>
    <w:p>
      <w:r>
        <w:t xml:space="preserve"> </w:t>
      </w:r>
    </w:p>
    <w:p>
      <w:pPr>
        <w:pStyle w:val="Heading2"/>
      </w:pPr>
      <w:r>
        <w:t>Related Work</w:t>
      </w:r>
    </w:p>
    <w:p>
      <w:r>
        <w:t>Existing work on ancient composite bows relies heavily on isolated lines of evidence: iconography (visual depictions), occasional material descriptions, and limited case studies of preserved specimens. Limitations include inconsistent definitions of 'composite bow', overinterpretation of stylized imagery, sparse proteomic confirmations of horn/sinew components, small or biased sampling of preserved objects, limited integration with ancient DNA (aDNA) studies, and lack of formal, pre-registered statistical models that propagate measurement uncertainty. Cultural phylogenetic or quantitative diffusion analyses have rarely been applied together with material authentication and genetic admixture timing, leaving origin and transmission hypotheses under-tested and vulnerable to circular reasoning.</w:t>
      </w:r>
    </w:p>
    <w:p>
      <w:r>
        <w:t xml:space="preserve"> </w:t>
      </w:r>
    </w:p>
    <w:p>
      <w:pPr>
        <w:pStyle w:val="Heading2"/>
      </w:pPr>
      <w:r>
        <w:t>Abstract</w:t>
      </w:r>
    </w:p>
    <w:p>
      <w:r>
        <w:t>We reassess claims about the origin and spread of the full horn–wood–sinew composite bow across ancient Eurasia by combining iconography, non-destructive imaging, proteomic identification, radiocarbon chronology, ancient DNA, and experimental replication within a single Bayesian hierarchical framework. We build a machine-readable diagnostic rubric for the composite bow and assemble a harmonized dataset of prioritized artifacts, iconography, and genetic samples. Monte Carlo preservation simulations will map evidence-type sensitivity and specificity (how likely different evidence is to detect true composites). The hierarchical model treats 'composite present' as a latent state per spatiotemporal unit and explicitly models detection error, enabling formal comparison of competing origin hypotheses (single-origin diffusion vs multiple independent inventions). Main contributions are: (1) a reproducible, pre-registered integration protocol; (2) a multi-modal dataset and experimental reference library; and (3) formal model comparison with uncertainty propagation. Expected outcome: clearer, testable evidence favoring or rejecting single-origin diffusion of the full composite bow in Eurasia.</w:t>
      </w:r>
    </w:p>
    <w:p>
      <w:r>
        <w:t xml:space="preserve"> </w:t>
      </w:r>
    </w:p>
    <w:p>
      <w:pPr>
        <w:pStyle w:val="Heading2"/>
      </w:pPr>
      <w:r>
        <w:t>Methodology</w:t>
      </w:r>
    </w:p>
    <w:p>
      <w:r>
        <w:t>1) Define machine-readable diagnostic rubric: list variables (iconography: limb curvature class, visible laminations, bindings; imaging: wooden core present Y/N, horn lamellae Y/N; proteomics: horn peptides Y/N, sinew peptides Y/N; radiocarbon: date posterior; genetics: admixture date posterior) with discrete states and confidence scores (Confirmed / Probable / Ambiguous / Negative). 2) Data standards: adopt CIDOC-CRM mapping in JSON-LD; store raw files (micro-CT DICOM, mzML, FASTQ) and metadata (provenance, permissions, preservation score). 3) Sampling and experimental reference: prioritize pilot list (permafrost Pazyryk, Arzhan, Sintashta, Yanghai, Noin-Ula, Solokha, selected Han and Central Asian tombs). Produce experimental builds (replicated full composites, self-bows, superficial repairs) and collect proteomic/FTIR/GC-MS reference signatures. 4) Authentication and lab protocols: proteomics FDR ≤1%, species calls require ≥2 taxon-unique peptides (if possible); aDNA authenticity: fragment length and C→T damage profiles; record blanks and replicates. 5) Preservation simulations: Monte Carlo runs stratified by preservation class (permafrost/dry/sealed/open) to estimate detection sensitivity and specificity for each evidence type. (Monte Carlo: repeated random sampling simulations to estimate uncertainty.) 6) Bayesian hierarchical model: latent binary state 'composite present' per OTU/time-slice; observation model links observed data to latent state via evidence-specific detection probabilities (informed by simulations); include spatial diffusion prior (adjacency), genetic admixture date posteriors as predictors, and explicit outlier terms. 7) Pre-registration and reproducibility: register full model (priors, likelihoods, MCMC settings) on OSF; code in Stan (hierarchical detection) and RevBayes/BEAST for phylogenetic components; containerize workflows (Docker/Singularity).</w:t>
      </w:r>
    </w:p>
    <w:p>
      <w:r>
        <w:t xml:space="preserve"> </w:t>
      </w:r>
    </w:p>
    <w:p>
      <w:pPr>
        <w:pStyle w:val="Heading2"/>
      </w:pPr>
      <w:r>
        <w:t>Experiments</w:t>
      </w:r>
    </w:p>
    <w:p>
      <w:r>
        <w:t>Datasets: (A) Iconographic corpus: 12–15 prioritized artifacts (Pazyryk, Arzhan, Sintashta, Yanghai, Noin-Ula, Solokha, selected Han and Central Asian tomb reliefs/seals) plus a broader curated image corpus; (B) Material corpus: micro-CT stacks, SEM, FTIR/GC-MS adhesive screens, proteomic mzML outputs for sampled objects; (C) aDNA: genome-wide data (FASTQ/BAM) from humans associated with sites where available; (D) Experimental reference: mechanical and proteomic data from replicated builds. Baselines: (1) diffusion model (single origin + spatial spread), (2) independent-invention model (multiple origins with no diffusion), (3) null model (random trait distribution). Evaluation metrics: Bayes factors for model comparison, WAIC/LOO (predictive fit), posterior predictive checks, ROC AUC and precision/recall for detection submodels (iconography/imaging/proteomics vs validated archaeological positives), and parameter convergence diagnostics (Rhat&lt;1.01, ESS&gt;400). Experimental setup: implement hierarchical detection model in Stan with 4 chains, 2000 warmup, 4000 sampling iterations; include evidence priors derived from preservation simulations; run RevBayes/BEAST for linguistic phylogenies and BayesTraits for correlated trait tests. Ablation studies: (A) remove genetic inputs and compare model fit; (B) remove iconography; (C) use imaging+proteomics only; (D) vary OTU time-slice widths (100, 250, 500 years). Sensitivity tests: alternative OTU delimitations (culture-based, grid-based, site-cluster), and inputting conservative vs liberal philological codings. Report FDR, peptide counts, and sample success rates per preservation class. Target sample sizes: aim for 20–30 successful proteomic IDs per region/time-slice and 15–30 well-dated aDNA individuals per region/time-slice for admixture tests.</w:t>
      </w:r>
    </w:p>
    <w:p>
      <w:r>
        <w:t xml:space="preserve"> </w:t>
      </w:r>
    </w:p>
    <w:p>
      <w:pPr>
        <w:pStyle w:val="Heading2"/>
      </w:pPr>
      <w:r>
        <w:t>Risk Factors And Limitations</w:t>
      </w:r>
    </w:p>
    <w:p>
      <w:r>
        <w:t>1) Preservation failure: adhesives, horn, or sinew may not preserve, yielding low proteomic success in many contexts (open acidic soils expected 10–30% success). 2) Sampling refusal: curators may deny destructive sampling, causing selection bias toward well-preserved or accessible collections. 3) Iconographic ambiguity: stylized depictions may produce false positives if treated as technological evidence. 4) Contamination and authentication: proteomic or aDNA contamination can produce false positives; strict lab authentication reduces but does not eliminate this risk. 5) Model misspecification: hierarchical model assumptions (detection structure, priors, spatial diffusion form) may bias inference if wrong. 6) Data sparsity and imbalance: uneven geographic or temporal sampling limits power and generalizability. 7) Ethical and legal constraints: human genetic data require controlled access and may restrict open sharing. 8) Computational cost: MCMC and phylogenetic analyses are compute-intensive and may limit extensive sensitivity sweeps. 9) External validity: conclusions may not generalize beyond sampled regions, time-slices, or to other bow technologies. 10) Measurement bias: variable lab pipelines, instrument resolution, and curator metadata quality can introduce systematic biases across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